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2876" w14:textId="77777777" w:rsidR="00501BF8" w:rsidRPr="00A35B93" w:rsidRDefault="00000000" w:rsidP="0049225D">
      <w:pPr>
        <w:pStyle w:val="1"/>
        <w:spacing w:line="0" w:lineRule="atLeast"/>
        <w:jc w:val="center"/>
        <w:rPr>
          <w:rFonts w:ascii="Times New Roman" w:hAnsi="Times New Roman" w:cs="Times New Roman"/>
          <w:color w:val="auto"/>
        </w:rPr>
      </w:pPr>
      <w:bookmarkStart w:id="0" w:name="X07f7d4c531996022cb9f19e75ed084200954eab"/>
      <w:r w:rsidRPr="00A35B93">
        <w:rPr>
          <w:rFonts w:ascii="Times New Roman" w:hAnsi="Times New Roman" w:cs="Times New Roman"/>
          <w:b/>
          <w:bCs/>
          <w:color w:val="auto"/>
        </w:rPr>
        <w:t>Cost-Benefit of a “Status Neutral” Care Model: An Economic Modelling Study to Evaluate the Long-Term Fiscal Impact of Implementing an Integrated “Prevention and Primary Care for All” Model in Targeted Hong Kong Districts</w:t>
      </w:r>
    </w:p>
    <w:p w14:paraId="784BEB77" w14:textId="0C867DE6" w:rsidR="00501BF8" w:rsidRPr="00A35B93" w:rsidRDefault="00501BF8" w:rsidP="00A35B93">
      <w:pPr>
        <w:spacing w:line="360" w:lineRule="auto"/>
        <w:jc w:val="both"/>
        <w:rPr>
          <w:rFonts w:ascii="Times New Roman" w:hAnsi="Times New Roman" w:cs="Times New Roman"/>
          <w:b/>
          <w:bCs/>
        </w:rPr>
      </w:pPr>
    </w:p>
    <w:p w14:paraId="5E45CAA5" w14:textId="15C4FD8B" w:rsidR="00A35B93" w:rsidRPr="00A35B93" w:rsidRDefault="00A35B93" w:rsidP="00A35B93">
      <w:pPr>
        <w:spacing w:line="360" w:lineRule="auto"/>
        <w:jc w:val="center"/>
        <w:rPr>
          <w:rFonts w:ascii="Times New Roman" w:hAnsi="Times New Roman" w:cs="Times New Roman"/>
          <w:b/>
          <w:bCs/>
          <w:sz w:val="28"/>
          <w:szCs w:val="28"/>
          <w:lang w:val="en-CA"/>
        </w:rPr>
      </w:pPr>
      <w:r w:rsidRPr="00A35B93">
        <w:rPr>
          <w:rFonts w:ascii="Times New Roman" w:hAnsi="Times New Roman" w:cs="Times New Roman"/>
          <w:b/>
          <w:bCs/>
          <w:sz w:val="28"/>
          <w:szCs w:val="28"/>
          <w:lang w:val="en-CA"/>
        </w:rPr>
        <w:t>The Hong Kong Aids Prevention Society (HKAPS)</w:t>
      </w:r>
    </w:p>
    <w:p w14:paraId="5AC43F06" w14:textId="77777777" w:rsidR="00A35B93" w:rsidRPr="00A35B93" w:rsidRDefault="00A35B93" w:rsidP="00A35B93">
      <w:pPr>
        <w:spacing w:line="360" w:lineRule="auto"/>
        <w:jc w:val="both"/>
        <w:rPr>
          <w:rFonts w:ascii="Times New Roman" w:hAnsi="Times New Roman" w:cs="Times New Roman"/>
          <w:b/>
          <w:bCs/>
          <w:lang w:val="en-CA"/>
        </w:rPr>
      </w:pPr>
    </w:p>
    <w:p w14:paraId="139521B5"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1" w:name="executive-summary"/>
      <w:r w:rsidRPr="00A35B93">
        <w:rPr>
          <w:rFonts w:ascii="Times New Roman" w:hAnsi="Times New Roman" w:cs="Times New Roman"/>
          <w:b/>
          <w:bCs/>
          <w:color w:val="auto"/>
          <w:sz w:val="24"/>
          <w:szCs w:val="24"/>
        </w:rPr>
        <w:t>EXECUTIVE SUMMARY</w:t>
      </w:r>
    </w:p>
    <w:p w14:paraId="5B3ACF54"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This comprehensive report evaluates the economic implications and long-term fiscal impact of implementing a status-neutral HIV care model in targeted Hong Kong districts. The status-neutral approach removes the artificial divide between HIV-positive and HIV-negative services, integrating prevention and primary care into a unified delivery system accessible to all individuals regardless of their HIV status.</w:t>
      </w:r>
    </w:p>
    <w:p w14:paraId="7A30BAA7"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Key Findings:</w:t>
      </w:r>
    </w:p>
    <w:p w14:paraId="3A75A383" w14:textId="77777777" w:rsidR="00501BF8" w:rsidRPr="00A35B93" w:rsidRDefault="00000000" w:rsidP="00A35B93">
      <w:pPr>
        <w:pStyle w:val="Compact"/>
        <w:numPr>
          <w:ilvl w:val="0"/>
          <w:numId w:val="2"/>
        </w:numPr>
        <w:spacing w:line="360" w:lineRule="auto"/>
        <w:jc w:val="both"/>
        <w:rPr>
          <w:rFonts w:ascii="Times New Roman" w:hAnsi="Times New Roman" w:cs="Times New Roman"/>
        </w:rPr>
      </w:pPr>
      <w:r w:rsidRPr="00A35B93">
        <w:rPr>
          <w:rFonts w:ascii="Times New Roman" w:hAnsi="Times New Roman" w:cs="Times New Roman"/>
        </w:rPr>
        <w:t>Status-neutral care models demonstrate significant potential for cost-effectiveness and improved health outcomes when properly implemented</w:t>
      </w:r>
    </w:p>
    <w:p w14:paraId="4E0EA265" w14:textId="77777777" w:rsidR="00501BF8" w:rsidRPr="00A35B93" w:rsidRDefault="00000000" w:rsidP="00A35B93">
      <w:pPr>
        <w:pStyle w:val="Compact"/>
        <w:numPr>
          <w:ilvl w:val="0"/>
          <w:numId w:val="2"/>
        </w:numPr>
        <w:spacing w:line="360" w:lineRule="auto"/>
        <w:jc w:val="both"/>
        <w:rPr>
          <w:rFonts w:ascii="Times New Roman" w:hAnsi="Times New Roman" w:cs="Times New Roman"/>
        </w:rPr>
      </w:pPr>
      <w:r w:rsidRPr="00A35B93">
        <w:rPr>
          <w:rFonts w:ascii="Times New Roman" w:hAnsi="Times New Roman" w:cs="Times New Roman"/>
        </w:rPr>
        <w:t>Integration of HIV services with primary care improves cascade outcomes including testing uptake, treatment initiation, retention in care, and viral suppression</w:t>
      </w:r>
    </w:p>
    <w:p w14:paraId="2278D350" w14:textId="77777777" w:rsidR="00501BF8" w:rsidRPr="00A35B93" w:rsidRDefault="00000000" w:rsidP="00A35B93">
      <w:pPr>
        <w:pStyle w:val="Compact"/>
        <w:numPr>
          <w:ilvl w:val="0"/>
          <w:numId w:val="2"/>
        </w:numPr>
        <w:spacing w:line="360" w:lineRule="auto"/>
        <w:jc w:val="both"/>
        <w:rPr>
          <w:rFonts w:ascii="Times New Roman" w:hAnsi="Times New Roman" w:cs="Times New Roman"/>
        </w:rPr>
      </w:pPr>
      <w:r w:rsidRPr="00A35B93">
        <w:rPr>
          <w:rFonts w:ascii="Times New Roman" w:hAnsi="Times New Roman" w:cs="Times New Roman"/>
        </w:rPr>
        <w:t>Economic modeling from similar settings suggests cost-benefit ratios ranging from 1.4:1 to 3.4:1 from health system perspectives</w:t>
      </w:r>
    </w:p>
    <w:p w14:paraId="104F56A4" w14:textId="77777777" w:rsidR="00501BF8" w:rsidRPr="00A35B93" w:rsidRDefault="00000000" w:rsidP="00A35B93">
      <w:pPr>
        <w:pStyle w:val="Compact"/>
        <w:numPr>
          <w:ilvl w:val="0"/>
          <w:numId w:val="2"/>
        </w:numPr>
        <w:spacing w:line="360" w:lineRule="auto"/>
        <w:jc w:val="both"/>
        <w:rPr>
          <w:rFonts w:ascii="Times New Roman" w:hAnsi="Times New Roman" w:cs="Times New Roman"/>
        </w:rPr>
      </w:pPr>
      <w:r w:rsidRPr="00A35B93">
        <w:rPr>
          <w:rFonts w:ascii="Times New Roman" w:hAnsi="Times New Roman" w:cs="Times New Roman"/>
        </w:rPr>
        <w:t>Long-term fiscal sustainability is enhanced through prevention of new infections, reduced disease progression, and improved health system efficiency</w:t>
      </w:r>
    </w:p>
    <w:p w14:paraId="4EBB9C5B" w14:textId="77777777" w:rsidR="00501BF8" w:rsidRPr="00A35B93" w:rsidRDefault="00000000" w:rsidP="00A35B93">
      <w:pPr>
        <w:pStyle w:val="Compact"/>
        <w:numPr>
          <w:ilvl w:val="0"/>
          <w:numId w:val="2"/>
        </w:numPr>
        <w:spacing w:line="360" w:lineRule="auto"/>
        <w:jc w:val="both"/>
        <w:rPr>
          <w:rFonts w:ascii="Times New Roman" w:hAnsi="Times New Roman" w:cs="Times New Roman"/>
        </w:rPr>
      </w:pPr>
      <w:r w:rsidRPr="00A35B93">
        <w:rPr>
          <w:rFonts w:ascii="Times New Roman" w:hAnsi="Times New Roman" w:cs="Times New Roman"/>
        </w:rPr>
        <w:t>Implementation requires substantial upfront investment but generates savings over medium to long-term horizons</w:t>
      </w:r>
    </w:p>
    <w:p w14:paraId="0E6A338A"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b/>
          <w:bCs/>
        </w:rPr>
        <w:lastRenderedPageBreak/>
        <w:t>Recommendations:</w:t>
      </w:r>
    </w:p>
    <w:p w14:paraId="1B47FEDD" w14:textId="77777777" w:rsidR="00501BF8" w:rsidRPr="00A35B93" w:rsidRDefault="00000000" w:rsidP="00A35B93">
      <w:pPr>
        <w:pStyle w:val="Compact"/>
        <w:numPr>
          <w:ilvl w:val="0"/>
          <w:numId w:val="3"/>
        </w:numPr>
        <w:spacing w:line="360" w:lineRule="auto"/>
        <w:jc w:val="both"/>
        <w:rPr>
          <w:rFonts w:ascii="Times New Roman" w:hAnsi="Times New Roman" w:cs="Times New Roman"/>
        </w:rPr>
      </w:pPr>
      <w:r w:rsidRPr="00A35B93">
        <w:rPr>
          <w:rFonts w:ascii="Times New Roman" w:hAnsi="Times New Roman" w:cs="Times New Roman"/>
        </w:rPr>
        <w:t>Pilot implementation in selected Hong Kong districts with high HIV prevalence</w:t>
      </w:r>
    </w:p>
    <w:p w14:paraId="340933EF" w14:textId="77777777" w:rsidR="00501BF8" w:rsidRPr="00A35B93" w:rsidRDefault="00000000" w:rsidP="00A35B93">
      <w:pPr>
        <w:pStyle w:val="Compact"/>
        <w:numPr>
          <w:ilvl w:val="0"/>
          <w:numId w:val="3"/>
        </w:numPr>
        <w:spacing w:line="360" w:lineRule="auto"/>
        <w:jc w:val="both"/>
        <w:rPr>
          <w:rFonts w:ascii="Times New Roman" w:hAnsi="Times New Roman" w:cs="Times New Roman"/>
        </w:rPr>
      </w:pPr>
      <w:r w:rsidRPr="00A35B93">
        <w:rPr>
          <w:rFonts w:ascii="Times New Roman" w:hAnsi="Times New Roman" w:cs="Times New Roman"/>
        </w:rPr>
        <w:t>Development of integrated service delivery platforms combining prevention, testing, treatment, and primary care</w:t>
      </w:r>
    </w:p>
    <w:p w14:paraId="601A34E2" w14:textId="77777777" w:rsidR="00501BF8" w:rsidRPr="00A35B93" w:rsidRDefault="00000000" w:rsidP="00A35B93">
      <w:pPr>
        <w:pStyle w:val="Compact"/>
        <w:numPr>
          <w:ilvl w:val="0"/>
          <w:numId w:val="3"/>
        </w:numPr>
        <w:spacing w:line="360" w:lineRule="auto"/>
        <w:jc w:val="both"/>
        <w:rPr>
          <w:rFonts w:ascii="Times New Roman" w:hAnsi="Times New Roman" w:cs="Times New Roman"/>
        </w:rPr>
      </w:pPr>
      <w:r w:rsidRPr="00A35B93">
        <w:rPr>
          <w:rFonts w:ascii="Times New Roman" w:hAnsi="Times New Roman" w:cs="Times New Roman"/>
        </w:rPr>
        <w:t>Investment in healthcare workforce training and capacity building</w:t>
      </w:r>
    </w:p>
    <w:p w14:paraId="686BB2DE" w14:textId="77777777" w:rsidR="00501BF8" w:rsidRPr="00A35B93" w:rsidRDefault="00000000" w:rsidP="00A35B93">
      <w:pPr>
        <w:pStyle w:val="Compact"/>
        <w:numPr>
          <w:ilvl w:val="0"/>
          <w:numId w:val="3"/>
        </w:numPr>
        <w:spacing w:line="360" w:lineRule="auto"/>
        <w:jc w:val="both"/>
        <w:rPr>
          <w:rFonts w:ascii="Times New Roman" w:hAnsi="Times New Roman" w:cs="Times New Roman"/>
        </w:rPr>
      </w:pPr>
      <w:r w:rsidRPr="00A35B93">
        <w:rPr>
          <w:rFonts w:ascii="Times New Roman" w:hAnsi="Times New Roman" w:cs="Times New Roman"/>
        </w:rPr>
        <w:t>Establishment of robust monitoring and evaluation systems</w:t>
      </w:r>
    </w:p>
    <w:p w14:paraId="06B9D6A7" w14:textId="77777777" w:rsidR="00501BF8" w:rsidRPr="00A35B93" w:rsidRDefault="00000000" w:rsidP="00A35B93">
      <w:pPr>
        <w:pStyle w:val="Compact"/>
        <w:numPr>
          <w:ilvl w:val="0"/>
          <w:numId w:val="3"/>
        </w:numPr>
        <w:spacing w:line="360" w:lineRule="auto"/>
        <w:jc w:val="both"/>
        <w:rPr>
          <w:rFonts w:ascii="Times New Roman" w:hAnsi="Times New Roman" w:cs="Times New Roman"/>
        </w:rPr>
      </w:pPr>
      <w:r w:rsidRPr="00A35B93">
        <w:rPr>
          <w:rFonts w:ascii="Times New Roman" w:hAnsi="Times New Roman" w:cs="Times New Roman"/>
        </w:rPr>
        <w:t>Stakeholder engagement across government, healthcare providers, and community organizations</w:t>
      </w:r>
    </w:p>
    <w:p w14:paraId="226C7CA4" w14:textId="41E07A95" w:rsidR="00501BF8" w:rsidRPr="00A35B93" w:rsidRDefault="00501BF8" w:rsidP="00A35B93">
      <w:pPr>
        <w:spacing w:line="360" w:lineRule="auto"/>
        <w:jc w:val="both"/>
        <w:rPr>
          <w:rFonts w:ascii="Times New Roman" w:hAnsi="Times New Roman" w:cs="Times New Roman"/>
        </w:rPr>
      </w:pPr>
    </w:p>
    <w:p w14:paraId="36F66D5B"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2" w:name="introduction"/>
      <w:bookmarkEnd w:id="1"/>
      <w:r w:rsidRPr="00A35B93">
        <w:rPr>
          <w:rFonts w:ascii="Times New Roman" w:hAnsi="Times New Roman" w:cs="Times New Roman"/>
          <w:b/>
          <w:bCs/>
          <w:color w:val="auto"/>
          <w:sz w:val="24"/>
          <w:szCs w:val="24"/>
        </w:rPr>
        <w:t>1. INTRODUCTION</w:t>
      </w:r>
    </w:p>
    <w:p w14:paraId="26CE045E"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 w:name="background-and-context"/>
      <w:r w:rsidRPr="00A35B93">
        <w:rPr>
          <w:rFonts w:ascii="Times New Roman" w:hAnsi="Times New Roman" w:cs="Times New Roman"/>
          <w:b/>
          <w:bCs/>
          <w:color w:val="auto"/>
          <w:sz w:val="24"/>
          <w:szCs w:val="24"/>
        </w:rPr>
        <w:t>1.1 Background and Context</w:t>
      </w:r>
    </w:p>
    <w:p w14:paraId="488A487D"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global HIV response has achieved remarkable progress over the past four decades, yet significant challenges persist in achieving universal health coverage for HIV prevention, testing, and treatment services. Traditional models of HIV service delivery have created artificial divisions between services for people living with HIV and those who are HIV-negative, often resulting in fragmented care pathways, missed prevention opportunities, and inefficient resource utilization.</w:t>
      </w:r>
    </w:p>
    <w:p w14:paraId="7C0BC20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The concept of “status-neutral” HIV care has emerged as a transformative approach that integrates prevention and treatment services into a comprehensive primary care framework accessible to all individuals regardless of their HIV serostatus. This model recognizes that HIV prevention and care exist on a continuum and that artificial service divisions may create barriers to optimal health outcomes.</w:t>
      </w:r>
    </w:p>
    <w:p w14:paraId="6A2009A5"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 w:name="the-concept-of-status-neutral-care"/>
      <w:bookmarkEnd w:id="3"/>
      <w:r w:rsidRPr="00A35B93">
        <w:rPr>
          <w:rFonts w:ascii="Times New Roman" w:hAnsi="Times New Roman" w:cs="Times New Roman"/>
          <w:b/>
          <w:bCs/>
          <w:color w:val="auto"/>
          <w:sz w:val="24"/>
          <w:szCs w:val="24"/>
        </w:rPr>
        <w:t>1.2 The Concept of Status-Neutral Care</w:t>
      </w:r>
    </w:p>
    <w:p w14:paraId="6A1EDD46"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Status-neutral care represents a paradigm shift in HIV service delivery. This approach integrates pre-exposure prophylaxis (PrEP), testing, treatment, and routine primary care into unified service platforms (</w:t>
      </w:r>
      <w:hyperlink w:anchor="ref-n2020">
        <w:r w:rsidR="00501BF8" w:rsidRPr="00A35B93">
          <w:rPr>
            <w:rStyle w:val="af"/>
            <w:rFonts w:ascii="Times New Roman" w:hAnsi="Times New Roman" w:cs="Times New Roman"/>
            <w:color w:val="auto"/>
          </w:rPr>
          <w:t>Phanuphak et al., 2020</w:t>
        </w:r>
      </w:hyperlink>
      <w:r w:rsidRPr="00A35B93">
        <w:rPr>
          <w:rFonts w:ascii="Times New Roman" w:hAnsi="Times New Roman" w:cs="Times New Roman"/>
        </w:rPr>
        <w:t>). The model aims to normalize HIV services by embedding them within broader healthcare delivery systems, thereby reducing stigma and improving accessibility.</w:t>
      </w:r>
    </w:p>
    <w:p w14:paraId="3D1BBA92"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lastRenderedPageBreak/>
        <w:t>The status-neutral framework encompasses several key components. First, it provides universal access to HIV prevention services including PrEP for individuals at substantial risk of HIV acquisition. Second, it offers streamlined testing and linkage to care regardless of test results. Third, it ensures that antiretroviral therapy is available to all people living with HIV. Fourth, it integrates these HIV-specific services within comprehensive primary healthcare (</w:t>
      </w:r>
      <w:hyperlink w:anchor="ref-n2020">
        <w:r w:rsidR="00501BF8" w:rsidRPr="00A35B93">
          <w:rPr>
            <w:rStyle w:val="af"/>
            <w:rFonts w:ascii="Times New Roman" w:hAnsi="Times New Roman" w:cs="Times New Roman"/>
            <w:color w:val="auto"/>
          </w:rPr>
          <w:t>Phanuphak et al., 2020</w:t>
        </w:r>
      </w:hyperlink>
      <w:r w:rsidRPr="00A35B93">
        <w:rPr>
          <w:rFonts w:ascii="Times New Roman" w:hAnsi="Times New Roman" w:cs="Times New Roman"/>
        </w:rPr>
        <w:t>).</w:t>
      </w:r>
    </w:p>
    <w:p w14:paraId="6BD13B58"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This integrated approach contrasts sharply with traditional vertical HIV programs that maintain separate service delivery pathways for HIV-positive and HIV-negative individuals. By removing these artificial divisions, status-neutral care aims to improve efficiency, reduce stigma, and enhance the continuity of care across the prevention-treatment continuum.</w:t>
      </w:r>
    </w:p>
    <w:p w14:paraId="54DE83AC"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5" w:name="X8e7b1620ead4ea51fc1ed15cfda48b8ba42c361"/>
      <w:bookmarkEnd w:id="4"/>
      <w:r w:rsidRPr="00A35B93">
        <w:rPr>
          <w:rFonts w:ascii="Times New Roman" w:hAnsi="Times New Roman" w:cs="Times New Roman"/>
          <w:b/>
          <w:bCs/>
          <w:color w:val="auto"/>
          <w:sz w:val="24"/>
          <w:szCs w:val="24"/>
        </w:rPr>
        <w:t>1.3 Hong Kong’s HIV Epidemiology and Healthcare Context</w:t>
      </w:r>
    </w:p>
    <w:p w14:paraId="776E3C1E"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 xml:space="preserve">Hong Kong presents a unique epidemiological and healthcare context for implementing status-neutral HIV care. The region maintains relatively low HIV prevalence compared to global </w:t>
      </w:r>
      <w:proofErr w:type="gramStart"/>
      <w:r w:rsidRPr="00A35B93">
        <w:rPr>
          <w:rFonts w:ascii="Times New Roman" w:hAnsi="Times New Roman" w:cs="Times New Roman"/>
        </w:rPr>
        <w:t>standards, yet</w:t>
      </w:r>
      <w:proofErr w:type="gramEnd"/>
      <w:r w:rsidRPr="00A35B93">
        <w:rPr>
          <w:rFonts w:ascii="Times New Roman" w:hAnsi="Times New Roman" w:cs="Times New Roman"/>
        </w:rPr>
        <w:t xml:space="preserve"> faces ongoing transmission primarily among key populations including men who have sex with men (MSM), people who inject drugs, and sex workers.</w:t>
      </w:r>
    </w:p>
    <w:p w14:paraId="5B05348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Research conducted across Asian settings, including Hong Kong, has revealed several critical challenges in the HIV care continuum. Studies have documented inadequate knowledge among healthcare practitioners, pervasive stigma towards individuals living with HIV, and paternalistic healthcare systems that represent major obstacles to integration (</w:t>
      </w:r>
      <w:hyperlink w:anchor="ref-n2020">
        <w:r w:rsidR="00501BF8" w:rsidRPr="00A35B93">
          <w:rPr>
            <w:rStyle w:val="af"/>
            <w:rFonts w:ascii="Times New Roman" w:hAnsi="Times New Roman" w:cs="Times New Roman"/>
            <w:color w:val="auto"/>
          </w:rPr>
          <w:t>Phanuphak et al., 2020</w:t>
        </w:r>
      </w:hyperlink>
      <w:r w:rsidRPr="00A35B93">
        <w:rPr>
          <w:rFonts w:ascii="Times New Roman" w:hAnsi="Times New Roman" w:cs="Times New Roman"/>
        </w:rPr>
        <w:t>). However, successful PrEP implementation in several Asian countries has utilized community-based, nurse-led, and key population-led service delivery models, demonstrating the feasibility of innovative approaches tailored to local contexts.</w:t>
      </w:r>
    </w:p>
    <w:p w14:paraId="71BDBD31"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6" w:name="rationale-for-economic-evaluation"/>
      <w:bookmarkEnd w:id="5"/>
      <w:r w:rsidRPr="00A35B93">
        <w:rPr>
          <w:rFonts w:ascii="Times New Roman" w:hAnsi="Times New Roman" w:cs="Times New Roman"/>
          <w:b/>
          <w:bCs/>
          <w:color w:val="auto"/>
          <w:sz w:val="24"/>
          <w:szCs w:val="24"/>
        </w:rPr>
        <w:t>1.4 Rationale for Economic Evaluation</w:t>
      </w:r>
    </w:p>
    <w:p w14:paraId="170FF4F1"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 xml:space="preserve">Economic evaluation of status-neutral care models is essential for several reasons. First, healthcare resources are inherently limited, and policymakers require robust evidence to make informed allocation decisions. Second, the upfront costs of implementing integrated service delivery platforms may be substantial, necessitating clear demonstration of long-term value. Third, competing healthcare priorities demand rigorous cost-benefit analysis </w:t>
      </w:r>
      <w:r w:rsidRPr="00A35B93">
        <w:rPr>
          <w:rFonts w:ascii="Times New Roman" w:hAnsi="Times New Roman" w:cs="Times New Roman"/>
        </w:rPr>
        <w:lastRenderedPageBreak/>
        <w:t>to justify investments in HIV services within broader universal health coverage frameworks.</w:t>
      </w:r>
    </w:p>
    <w:p w14:paraId="5A348A01"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The economic case for status-neutral care rests on multiple value propositions. Prevention of new HIV infections generates substantial savings by averting lifetime treatment costs and associated healthcare expenditures. Improved retention in care and viral suppression reduce disease progression, opportunistic infections, and costly hospitalizations. Integration of services enhances health system efficiency by reducing fragmentation, duplication, and administrative overhead.</w:t>
      </w:r>
    </w:p>
    <w:p w14:paraId="2C9F3B01"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International evidence demonstrates that integrated HIV services can be cost-effective. Studies from various settings have shown that integration improves HIV care cascade outcomes including testing uptake, antiretroviral therapy initiation, retention in care, and viral suppression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 However, context-specific economic modeling is essential to inform implementation decisions in Hong Kong’s unique healthcare environment.</w:t>
      </w:r>
    </w:p>
    <w:p w14:paraId="73A76BC1"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7" w:name="report-objectives"/>
      <w:bookmarkEnd w:id="6"/>
      <w:r w:rsidRPr="00A35B93">
        <w:rPr>
          <w:rFonts w:ascii="Times New Roman" w:hAnsi="Times New Roman" w:cs="Times New Roman"/>
          <w:b/>
          <w:bCs/>
          <w:color w:val="auto"/>
          <w:sz w:val="24"/>
          <w:szCs w:val="24"/>
        </w:rPr>
        <w:t>1.5 Report Objectives</w:t>
      </w:r>
    </w:p>
    <w:p w14:paraId="78DDB582"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This comprehensive report aims to:</w:t>
      </w:r>
    </w:p>
    <w:p w14:paraId="6C8939BB" w14:textId="77777777" w:rsidR="00501BF8" w:rsidRPr="00A35B93" w:rsidRDefault="00000000" w:rsidP="00A35B93">
      <w:pPr>
        <w:pStyle w:val="Compact"/>
        <w:numPr>
          <w:ilvl w:val="0"/>
          <w:numId w:val="4"/>
        </w:numPr>
        <w:spacing w:line="360" w:lineRule="auto"/>
        <w:jc w:val="both"/>
        <w:rPr>
          <w:rFonts w:ascii="Times New Roman" w:hAnsi="Times New Roman" w:cs="Times New Roman"/>
        </w:rPr>
      </w:pPr>
      <w:r w:rsidRPr="00A35B93">
        <w:rPr>
          <w:rFonts w:ascii="Times New Roman" w:hAnsi="Times New Roman" w:cs="Times New Roman"/>
        </w:rPr>
        <w:t>Evaluate the potential cost-benefit of implementing a status-neutral HIV care model in targeted Hong Kong districts</w:t>
      </w:r>
    </w:p>
    <w:p w14:paraId="67789E5D" w14:textId="77777777" w:rsidR="00501BF8" w:rsidRPr="00A35B93" w:rsidRDefault="00000000" w:rsidP="00A35B93">
      <w:pPr>
        <w:pStyle w:val="Compact"/>
        <w:numPr>
          <w:ilvl w:val="0"/>
          <w:numId w:val="4"/>
        </w:numPr>
        <w:spacing w:line="360" w:lineRule="auto"/>
        <w:jc w:val="both"/>
        <w:rPr>
          <w:rFonts w:ascii="Times New Roman" w:hAnsi="Times New Roman" w:cs="Times New Roman"/>
        </w:rPr>
      </w:pPr>
      <w:r w:rsidRPr="00A35B93">
        <w:rPr>
          <w:rFonts w:ascii="Times New Roman" w:hAnsi="Times New Roman" w:cs="Times New Roman"/>
        </w:rPr>
        <w:t>Develop an economic model estimating the long-term fiscal impact of integrated prevention and primary care delivery</w:t>
      </w:r>
    </w:p>
    <w:p w14:paraId="19603120" w14:textId="77777777" w:rsidR="00501BF8" w:rsidRPr="00A35B93" w:rsidRDefault="00000000" w:rsidP="00A35B93">
      <w:pPr>
        <w:pStyle w:val="Compact"/>
        <w:numPr>
          <w:ilvl w:val="0"/>
          <w:numId w:val="4"/>
        </w:numPr>
        <w:spacing w:line="360" w:lineRule="auto"/>
        <w:jc w:val="both"/>
        <w:rPr>
          <w:rFonts w:ascii="Times New Roman" w:hAnsi="Times New Roman" w:cs="Times New Roman"/>
        </w:rPr>
      </w:pPr>
      <w:r w:rsidRPr="00A35B93">
        <w:rPr>
          <w:rFonts w:ascii="Times New Roman" w:hAnsi="Times New Roman" w:cs="Times New Roman"/>
        </w:rPr>
        <w:t>Identify key cost drivers and benefit streams associated with status-neutral implementation</w:t>
      </w:r>
    </w:p>
    <w:p w14:paraId="1A495C37" w14:textId="77777777" w:rsidR="00501BF8" w:rsidRPr="00A35B93" w:rsidRDefault="00000000" w:rsidP="00A35B93">
      <w:pPr>
        <w:pStyle w:val="Compact"/>
        <w:numPr>
          <w:ilvl w:val="0"/>
          <w:numId w:val="4"/>
        </w:numPr>
        <w:spacing w:line="360" w:lineRule="auto"/>
        <w:jc w:val="both"/>
        <w:rPr>
          <w:rFonts w:ascii="Times New Roman" w:hAnsi="Times New Roman" w:cs="Times New Roman"/>
        </w:rPr>
      </w:pPr>
      <w:r w:rsidRPr="00A35B93">
        <w:rPr>
          <w:rFonts w:ascii="Times New Roman" w:hAnsi="Times New Roman" w:cs="Times New Roman"/>
        </w:rPr>
        <w:t>Assess implementation considerations including health system requirements, workforce needs, and financing mechanisms</w:t>
      </w:r>
    </w:p>
    <w:p w14:paraId="0B635751" w14:textId="77777777" w:rsidR="00501BF8" w:rsidRPr="00A35B93" w:rsidRDefault="00000000" w:rsidP="00A35B93">
      <w:pPr>
        <w:pStyle w:val="Compact"/>
        <w:numPr>
          <w:ilvl w:val="0"/>
          <w:numId w:val="4"/>
        </w:numPr>
        <w:spacing w:line="360" w:lineRule="auto"/>
        <w:jc w:val="both"/>
        <w:rPr>
          <w:rFonts w:ascii="Times New Roman" w:hAnsi="Times New Roman" w:cs="Times New Roman"/>
        </w:rPr>
      </w:pPr>
      <w:r w:rsidRPr="00A35B93">
        <w:rPr>
          <w:rFonts w:ascii="Times New Roman" w:hAnsi="Times New Roman" w:cs="Times New Roman"/>
        </w:rPr>
        <w:t>Provide evidence-based recommendations for policymakers, healthcare administrators, and stakeholders</w:t>
      </w:r>
    </w:p>
    <w:p w14:paraId="7D196DC7"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analysis adopts a health system perspective with a long-</w:t>
      </w:r>
      <w:proofErr w:type="gramStart"/>
      <w:r w:rsidRPr="00A35B93">
        <w:rPr>
          <w:rFonts w:ascii="Times New Roman" w:hAnsi="Times New Roman" w:cs="Times New Roman"/>
        </w:rPr>
        <w:t>term time</w:t>
      </w:r>
      <w:proofErr w:type="gramEnd"/>
      <w:r w:rsidRPr="00A35B93">
        <w:rPr>
          <w:rFonts w:ascii="Times New Roman" w:hAnsi="Times New Roman" w:cs="Times New Roman"/>
        </w:rPr>
        <w:t xml:space="preserve"> horizon appropriate for evaluating chronic disease interventions and prevention programs. The report </w:t>
      </w:r>
      <w:r w:rsidRPr="00A35B93">
        <w:rPr>
          <w:rFonts w:ascii="Times New Roman" w:hAnsi="Times New Roman" w:cs="Times New Roman"/>
        </w:rPr>
        <w:lastRenderedPageBreak/>
        <w:t>synthesizes international evidence while recognizing the importance of local context in determining implementation strategies and expected outcomes.</w:t>
      </w:r>
    </w:p>
    <w:p w14:paraId="539563B4" w14:textId="5BCB80B7" w:rsidR="00501BF8" w:rsidRPr="00A35B93" w:rsidRDefault="00501BF8" w:rsidP="00A35B93">
      <w:pPr>
        <w:spacing w:line="360" w:lineRule="auto"/>
        <w:jc w:val="both"/>
        <w:rPr>
          <w:rFonts w:ascii="Times New Roman" w:hAnsi="Times New Roman" w:cs="Times New Roman"/>
        </w:rPr>
      </w:pPr>
    </w:p>
    <w:p w14:paraId="251EC656"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8" w:name="literature-review"/>
      <w:bookmarkEnd w:id="2"/>
      <w:bookmarkEnd w:id="7"/>
      <w:r w:rsidRPr="00A35B93">
        <w:rPr>
          <w:rFonts w:ascii="Times New Roman" w:hAnsi="Times New Roman" w:cs="Times New Roman"/>
          <w:b/>
          <w:bCs/>
          <w:color w:val="auto"/>
          <w:sz w:val="24"/>
          <w:szCs w:val="24"/>
        </w:rPr>
        <w:t>2. LITERATURE REVIEW</w:t>
      </w:r>
    </w:p>
    <w:p w14:paraId="28AB91D5"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9" w:name="Xec533732a5f7e984f04abcc6181af378e4e2d49"/>
      <w:r w:rsidRPr="00A35B93">
        <w:rPr>
          <w:rFonts w:ascii="Times New Roman" w:hAnsi="Times New Roman" w:cs="Times New Roman"/>
          <w:b/>
          <w:bCs/>
          <w:color w:val="auto"/>
          <w:sz w:val="24"/>
          <w:szCs w:val="24"/>
        </w:rPr>
        <w:t>2.1 Status-Neutral HIV Care Models: Conceptual Foundations and Evidence</w:t>
      </w:r>
    </w:p>
    <w:p w14:paraId="590661E2"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evolution toward status-neutral HIV care reflects broader trends in the global HIV response. The concept emerged from recognition that artificial divisions between prevention and treatment services create inefficiencies and missed opportunities. Implementation of undetectable equals untransmittable (U=U) principles and widespread PrEP availability have blurred traditional boundaries between HIV prevention and treatment, creating momentum for integrated approaches (</w:t>
      </w:r>
      <w:hyperlink w:anchor="ref-n2020">
        <w:r w:rsidR="00501BF8" w:rsidRPr="00A35B93">
          <w:rPr>
            <w:rStyle w:val="af"/>
            <w:rFonts w:ascii="Times New Roman" w:hAnsi="Times New Roman" w:cs="Times New Roman"/>
            <w:color w:val="auto"/>
          </w:rPr>
          <w:t>Phanuphak et al., 2020</w:t>
        </w:r>
      </w:hyperlink>
      <w:r w:rsidRPr="00A35B93">
        <w:rPr>
          <w:rFonts w:ascii="Times New Roman" w:hAnsi="Times New Roman" w:cs="Times New Roman"/>
        </w:rPr>
        <w:t>).</w:t>
      </w:r>
    </w:p>
    <w:p w14:paraId="64E5FC35"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Research on status-neutral models in the Asia-Pacific region has identified several critical success factors. Strategies targeting changes to practice norms through wide-scale stakeholder training and education have shown promise. Making use of online healthcare professional influencers and utilizing financial mechanisms represent emerging implementation strategies. Countries with advanced PrEP implementation have demonstrated that community-based, nurse-led, and key population-led service delivery models can overcome traditional barriers (</w:t>
      </w:r>
      <w:hyperlink w:anchor="ref-n2020">
        <w:r w:rsidR="00501BF8" w:rsidRPr="00A35B93">
          <w:rPr>
            <w:rStyle w:val="af"/>
            <w:rFonts w:ascii="Times New Roman" w:hAnsi="Times New Roman" w:cs="Times New Roman"/>
            <w:color w:val="auto"/>
          </w:rPr>
          <w:t>Phanuphak et al., 2020</w:t>
        </w:r>
      </w:hyperlink>
      <w:r w:rsidRPr="00A35B93">
        <w:rPr>
          <w:rFonts w:ascii="Times New Roman" w:hAnsi="Times New Roman" w:cs="Times New Roman"/>
        </w:rPr>
        <w:t>).</w:t>
      </w:r>
    </w:p>
    <w:p w14:paraId="660966AD"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 xml:space="preserve">However, uptake of status-neutral approaches has been limited in many Asia-Pacific settings. Inadequate knowledge among healthcare practitioners and pervasive stigma towards individuals living with HIV </w:t>
      </w:r>
      <w:proofErr w:type="gramStart"/>
      <w:r w:rsidRPr="00A35B93">
        <w:rPr>
          <w:rFonts w:ascii="Times New Roman" w:hAnsi="Times New Roman" w:cs="Times New Roman"/>
        </w:rPr>
        <w:t>represent</w:t>
      </w:r>
      <w:proofErr w:type="gramEnd"/>
      <w:r w:rsidRPr="00A35B93">
        <w:rPr>
          <w:rFonts w:ascii="Times New Roman" w:hAnsi="Times New Roman" w:cs="Times New Roman"/>
        </w:rPr>
        <w:t xml:space="preserve"> major obstacles. Overcoming these barriers requires comprehensive strategies addressing both individual provider attitudes and systemic healthcare delivery structures.</w:t>
      </w:r>
    </w:p>
    <w:p w14:paraId="11B4EA7E"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10" w:name="X0b99f24e4832118a0fe623a1c0109679ab8ac69"/>
      <w:bookmarkEnd w:id="9"/>
      <w:r w:rsidRPr="00A35B93">
        <w:rPr>
          <w:rFonts w:ascii="Times New Roman" w:hAnsi="Times New Roman" w:cs="Times New Roman"/>
          <w:b/>
          <w:bCs/>
          <w:color w:val="auto"/>
          <w:sz w:val="24"/>
          <w:szCs w:val="24"/>
        </w:rPr>
        <w:t>2.2 Community-Based HIV Services and Integration</w:t>
      </w:r>
    </w:p>
    <w:p w14:paraId="6494AFF9"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 xml:space="preserve">A systematic review of community-based primary health care interventions for HIV outcomes provides robust evidence supporting integrated delivery models. The analysis examined the effectiveness of community-based HIV interventions with or without </w:t>
      </w:r>
      <w:r w:rsidRPr="00A35B93">
        <w:rPr>
          <w:rFonts w:ascii="Times New Roman" w:hAnsi="Times New Roman" w:cs="Times New Roman"/>
        </w:rPr>
        <w:lastRenderedPageBreak/>
        <w:t>facility-based components, assessing their impact on HIV prevention and treatment outcomes for mothers and children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w:t>
      </w:r>
    </w:p>
    <w:p w14:paraId="372FD93F"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The evidence demonstrates that community-based interventions improve multiple HIV outcomes. Most studies showed that community-based approaches improved HIV prevention and treatment outcomes compared to facility-based approaches alone. Most interventions were implemented by community health workers, with strategies including peer-to-peer education, psychosocial support, training of community champions, community-based follow-up care, and integrated care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 These findings suggest that integration combined with community engagement tends to improve both HIV systems and patient outcomes.</w:t>
      </w:r>
    </w:p>
    <w:p w14:paraId="41AE0E0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The breadth of integration models demonstrates flexibility in implementation approaches. However, the review identified the need to assess scalability of interventions and integrate them into existing health systems to evaluate their impact in more routine settings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w:t>
      </w:r>
    </w:p>
    <w:p w14:paraId="4D5D92C3"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11" w:name="X53a80471aa256160aca7d8132f879d86276ef36"/>
      <w:bookmarkEnd w:id="10"/>
      <w:r w:rsidRPr="00A35B93">
        <w:rPr>
          <w:rFonts w:ascii="Times New Roman" w:hAnsi="Times New Roman" w:cs="Times New Roman"/>
          <w:b/>
          <w:bCs/>
          <w:color w:val="auto"/>
          <w:sz w:val="24"/>
          <w:szCs w:val="24"/>
        </w:rPr>
        <w:t>2.3 Economic Modeling in HIV Prevention and Care</w:t>
      </w:r>
    </w:p>
    <w:p w14:paraId="19D429B8" w14:textId="77777777" w:rsidR="00501BF8" w:rsidRPr="00A35B93" w:rsidRDefault="00000000" w:rsidP="00A35B93">
      <w:pPr>
        <w:pStyle w:val="4"/>
        <w:spacing w:line="360" w:lineRule="auto"/>
        <w:jc w:val="both"/>
        <w:rPr>
          <w:rFonts w:ascii="Times New Roman" w:hAnsi="Times New Roman" w:cs="Times New Roman"/>
          <w:color w:val="auto"/>
        </w:rPr>
      </w:pPr>
      <w:bookmarkStart w:id="12" w:name="X907a6bcbaf5bc91239112487c292abaff85c636"/>
      <w:r w:rsidRPr="00A35B93">
        <w:rPr>
          <w:rFonts w:ascii="Times New Roman" w:hAnsi="Times New Roman" w:cs="Times New Roman"/>
          <w:color w:val="auto"/>
        </w:rPr>
        <w:t>2.3.1 Cost-Effectiveness Analysis Methodologies</w:t>
      </w:r>
    </w:p>
    <w:p w14:paraId="7B513A60"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Establishing sound principles for economic analysis of health care technology is fundamental to evaluating HIV interventions. Guidelines for conducting and reporting economic analyses emphasize the importance of clear methodology, appropriate perspective selection, and transparent reporting of assumptions and results (</w:t>
      </w:r>
      <w:hyperlink w:anchor="ref-task1995">
        <w:r w:rsidR="00501BF8" w:rsidRPr="00A35B93">
          <w:rPr>
            <w:rStyle w:val="af"/>
            <w:rFonts w:ascii="Times New Roman" w:hAnsi="Times New Roman" w:cs="Times New Roman"/>
            <w:color w:val="auto"/>
          </w:rPr>
          <w:t>Principles for Economic Analysis of Health Care Technology, 1995</w:t>
        </w:r>
      </w:hyperlink>
      <w:r w:rsidRPr="00A35B93">
        <w:rPr>
          <w:rFonts w:ascii="Times New Roman" w:hAnsi="Times New Roman" w:cs="Times New Roman"/>
        </w:rPr>
        <w:t>). Rigorous approaches to economic evaluation help minimize bias and increase credibility for decision-makers.</w:t>
      </w:r>
    </w:p>
    <w:p w14:paraId="76398077" w14:textId="77777777" w:rsidR="00501BF8" w:rsidRPr="00A35B93" w:rsidRDefault="00000000" w:rsidP="00A35B93">
      <w:pPr>
        <w:pStyle w:val="4"/>
        <w:spacing w:line="360" w:lineRule="auto"/>
        <w:jc w:val="both"/>
        <w:rPr>
          <w:rFonts w:ascii="Times New Roman" w:hAnsi="Times New Roman" w:cs="Times New Roman"/>
          <w:color w:val="auto"/>
        </w:rPr>
      </w:pPr>
      <w:bookmarkStart w:id="13" w:name="X2e15ae72c3cea6ac698aa8f9ccdd9a70ed417be"/>
      <w:bookmarkEnd w:id="12"/>
      <w:r w:rsidRPr="00A35B93">
        <w:rPr>
          <w:rFonts w:ascii="Times New Roman" w:hAnsi="Times New Roman" w:cs="Times New Roman"/>
          <w:color w:val="auto"/>
        </w:rPr>
        <w:t>2.3.2 Integrated Service Delivery and Cost-Effectiveness**</w:t>
      </w:r>
    </w:p>
    <w:p w14:paraId="17023E5C"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 xml:space="preserve">Economic analysis of integrated HIV services with maternal and child health care programs demonstrates substantial value. Integration of HIV services into reproductive health platforms, combined with appropriate monitoring and follow-up, has shown effectiveness in improving outcomes for pregnant women and children living with HIV. Studies have documented significant barriers to viral load suppression and gaps in the continuum of HIV </w:t>
      </w:r>
      <w:r w:rsidRPr="00A35B93">
        <w:rPr>
          <w:rFonts w:ascii="Times New Roman" w:hAnsi="Times New Roman" w:cs="Times New Roman"/>
        </w:rPr>
        <w:lastRenderedPageBreak/>
        <w:t>care and treatment, highlighting the importance of integrated approaches to service delivery (</w:t>
      </w:r>
      <w:hyperlink w:anchor="ref-y2014">
        <w:r w:rsidR="00501BF8" w:rsidRPr="00A35B93">
          <w:rPr>
            <w:rStyle w:val="af"/>
            <w:rFonts w:ascii="Times New Roman" w:hAnsi="Times New Roman" w:cs="Times New Roman"/>
            <w:color w:val="auto"/>
          </w:rPr>
          <w:t>Donastorg et al., 2014</w:t>
        </w:r>
      </w:hyperlink>
      <w:r w:rsidRPr="00A35B93">
        <w:rPr>
          <w:rFonts w:ascii="Times New Roman" w:hAnsi="Times New Roman" w:cs="Times New Roman"/>
        </w:rPr>
        <w:t>).</w:t>
      </w:r>
    </w:p>
    <w:p w14:paraId="4C1EFCE7"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Analysis of integrated care models for HIV and maternal health using SMS-based interventions showed potential but underscored the importance of ensuring adequate baseline performance. In programs where most women are already virally suppressed, targeted interventions informed by viral load data may improve effectiveness (</w:t>
      </w:r>
      <w:hyperlink w:anchor="ref-j2021">
        <w:r w:rsidR="00501BF8" w:rsidRPr="00A35B93">
          <w:rPr>
            <w:rStyle w:val="af"/>
            <w:rFonts w:ascii="Times New Roman" w:hAnsi="Times New Roman" w:cs="Times New Roman"/>
            <w:color w:val="auto"/>
          </w:rPr>
          <w:t>Kinuthia et al., 2021</w:t>
        </w:r>
      </w:hyperlink>
      <w:r w:rsidRPr="00A35B93">
        <w:rPr>
          <w:rFonts w:ascii="Times New Roman" w:hAnsi="Times New Roman" w:cs="Times New Roman"/>
        </w:rPr>
        <w:t>).</w:t>
      </w:r>
    </w:p>
    <w:p w14:paraId="5BD90D92" w14:textId="77777777" w:rsidR="00501BF8" w:rsidRPr="00A35B93" w:rsidRDefault="00000000" w:rsidP="00A35B93">
      <w:pPr>
        <w:pStyle w:val="4"/>
        <w:spacing w:line="360" w:lineRule="auto"/>
        <w:jc w:val="both"/>
        <w:rPr>
          <w:rFonts w:ascii="Times New Roman" w:hAnsi="Times New Roman" w:cs="Times New Roman"/>
          <w:color w:val="auto"/>
        </w:rPr>
      </w:pPr>
      <w:bookmarkStart w:id="14" w:name="X23857a851409539b943575c8e8226beb28d431b"/>
      <w:bookmarkEnd w:id="13"/>
      <w:r w:rsidRPr="00A35B93">
        <w:rPr>
          <w:rFonts w:ascii="Times New Roman" w:hAnsi="Times New Roman" w:cs="Times New Roman"/>
          <w:color w:val="auto"/>
        </w:rPr>
        <w:t>2.3.3 Fall Prevention and Cost-Benefit Frameworks**</w:t>
      </w:r>
    </w:p>
    <w:p w14:paraId="30EA8A35"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Economic evaluation methodology applicable to preventive interventions in primary care has been demonstrated through fall prevention trials. Pragmatic cluster randomized trials with economic evaluation using cost-effectiveness analysis frameworks show how to assess incremental costs and outcomes of alternative prevention strategies (</w:t>
      </w:r>
      <w:hyperlink w:anchor="ref-j2021a">
        <w:r w:rsidR="00501BF8" w:rsidRPr="00A35B93">
          <w:rPr>
            <w:rStyle w:val="af"/>
            <w:rFonts w:ascii="Times New Roman" w:hAnsi="Times New Roman" w:cs="Times New Roman"/>
            <w:color w:val="auto"/>
          </w:rPr>
          <w:t>Bruce et al., 2021</w:t>
        </w:r>
      </w:hyperlink>
      <w:r w:rsidRPr="00A35B93">
        <w:rPr>
          <w:rFonts w:ascii="Times New Roman" w:hAnsi="Times New Roman" w:cs="Times New Roman"/>
        </w:rPr>
        <w:t>). These methodological approaches are transferable to HIV prevention and care contexts.</w:t>
      </w:r>
    </w:p>
    <w:p w14:paraId="30C4E9DF" w14:textId="77777777" w:rsidR="00501BF8" w:rsidRPr="00A35B93" w:rsidRDefault="00000000" w:rsidP="00A35B93">
      <w:pPr>
        <w:pStyle w:val="4"/>
        <w:spacing w:line="360" w:lineRule="auto"/>
        <w:jc w:val="both"/>
        <w:rPr>
          <w:rFonts w:ascii="Times New Roman" w:hAnsi="Times New Roman" w:cs="Times New Roman"/>
          <w:color w:val="auto"/>
        </w:rPr>
      </w:pPr>
      <w:bookmarkStart w:id="15" w:name="vaccination-economics-as-a-parallel"/>
      <w:bookmarkEnd w:id="14"/>
      <w:r w:rsidRPr="00A35B93">
        <w:rPr>
          <w:rFonts w:ascii="Times New Roman" w:hAnsi="Times New Roman" w:cs="Times New Roman"/>
          <w:color w:val="auto"/>
        </w:rPr>
        <w:t>2.3.4 Vaccination Economics as a Parallel**</w:t>
      </w:r>
    </w:p>
    <w:p w14:paraId="0D4CE8F4"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COVID-19 vaccination cost-benefit analysis provides relevant methodological approaches and comparative benchmarking. Analysis of vaccination campaigns showed that from a social perspective, cost-benefit ratios of 3.4:1 are achievable through comprehensive prevention programs, with most savings derived from monetization of mortality reduction and cases with prevented sequelae (</w:t>
      </w:r>
      <w:hyperlink w:anchor="ref-f2021">
        <w:r w:rsidR="00501BF8" w:rsidRPr="00A35B93">
          <w:rPr>
            <w:rStyle w:val="af"/>
            <w:rFonts w:ascii="Times New Roman" w:hAnsi="Times New Roman" w:cs="Times New Roman"/>
            <w:color w:val="auto"/>
          </w:rPr>
          <w:t>Lpez et al., 2021</w:t>
        </w:r>
      </w:hyperlink>
      <w:r w:rsidRPr="00A35B93">
        <w:rPr>
          <w:rFonts w:ascii="Times New Roman" w:hAnsi="Times New Roman" w:cs="Times New Roman"/>
        </w:rPr>
        <w:t>).</w:t>
      </w:r>
    </w:p>
    <w:p w14:paraId="5A91A36B"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16" w:name="Xe0b76fd8d0fe27f5313319600b07c7429aa4972"/>
      <w:bookmarkEnd w:id="11"/>
      <w:bookmarkEnd w:id="15"/>
      <w:r w:rsidRPr="00A35B93">
        <w:rPr>
          <w:rFonts w:ascii="Times New Roman" w:hAnsi="Times New Roman" w:cs="Times New Roman"/>
          <w:b/>
          <w:bCs/>
          <w:color w:val="auto"/>
          <w:sz w:val="24"/>
          <w:szCs w:val="24"/>
        </w:rPr>
        <w:t>2.4 Prevention of Mother-to-Child HIV Transmission</w:t>
      </w:r>
    </w:p>
    <w:p w14:paraId="2037245A"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Factors associated with utilization of antenatal care and prevention of mother-to-child HIV transmission services have been examined across different epidemiological settings. Research has identified that household income, socioeconomic setting, and geographic accessibility represent significant factors associated with service utilization (</w:t>
      </w:r>
      <w:hyperlink w:anchor="ref-elias2018">
        <w:r w:rsidR="00501BF8" w:rsidRPr="00A35B93">
          <w:rPr>
            <w:rStyle w:val="af"/>
            <w:rFonts w:ascii="Times New Roman" w:hAnsi="Times New Roman" w:cs="Times New Roman"/>
            <w:color w:val="auto"/>
          </w:rPr>
          <w:t>Zegeye et al., 2018</w:t>
        </w:r>
      </w:hyperlink>
      <w:r w:rsidRPr="00A35B93">
        <w:rPr>
          <w:rFonts w:ascii="Times New Roman" w:hAnsi="Times New Roman" w:cs="Times New Roman"/>
        </w:rPr>
        <w:t xml:space="preserve">). Long walking distance, low household income, and living in rural settings are significant barriers to </w:t>
      </w:r>
      <w:proofErr w:type="gramStart"/>
      <w:r w:rsidRPr="00A35B93">
        <w:rPr>
          <w:rFonts w:ascii="Times New Roman" w:hAnsi="Times New Roman" w:cs="Times New Roman"/>
        </w:rPr>
        <w:t>prevention</w:t>
      </w:r>
      <w:proofErr w:type="gramEnd"/>
      <w:r w:rsidRPr="00A35B93">
        <w:rPr>
          <w:rFonts w:ascii="Times New Roman" w:hAnsi="Times New Roman" w:cs="Times New Roman"/>
        </w:rPr>
        <w:t xml:space="preserve"> service access, suggesting that improved geographic accessibility and household welfare expansion represent important policy strategies.</w:t>
      </w:r>
    </w:p>
    <w:p w14:paraId="7E7A5A6C"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17" w:name="hiv-testing-and-primary-care-integration"/>
      <w:bookmarkEnd w:id="16"/>
      <w:r w:rsidRPr="00A35B93">
        <w:rPr>
          <w:rFonts w:ascii="Times New Roman" w:hAnsi="Times New Roman" w:cs="Times New Roman"/>
          <w:b/>
          <w:bCs/>
          <w:color w:val="auto"/>
          <w:sz w:val="24"/>
          <w:szCs w:val="24"/>
        </w:rPr>
        <w:lastRenderedPageBreak/>
        <w:t>2.5 HIV Testing and Primary Care Integration</w:t>
      </w:r>
    </w:p>
    <w:p w14:paraId="36EBD73F"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Evaluation of HIV incidence and prevention efforts among persons engaged in primary care shows that biomedical and behavioral prevention utilization remains suboptimal despite widespread availability of prevention services. Gender-based differences in prevention utilization have been observed, with more males obtaining PrEP prescriptions than females prior to seroconversion (</w:t>
      </w:r>
      <w:hyperlink w:anchor="ref-madeline2025">
        <w:r w:rsidR="00501BF8" w:rsidRPr="00A35B93">
          <w:rPr>
            <w:rStyle w:val="af"/>
            <w:rFonts w:ascii="Times New Roman" w:hAnsi="Times New Roman" w:cs="Times New Roman"/>
            <w:color w:val="auto"/>
          </w:rPr>
          <w:t>Lickfeld et al., 2025</w:t>
        </w:r>
      </w:hyperlink>
      <w:r w:rsidRPr="00A35B93">
        <w:rPr>
          <w:rFonts w:ascii="Times New Roman" w:hAnsi="Times New Roman" w:cs="Times New Roman"/>
        </w:rPr>
        <w:t xml:space="preserve">). These findings underscore the need for targeted approaches to ensure equitable </w:t>
      </w:r>
      <w:proofErr w:type="gramStart"/>
      <w:r w:rsidRPr="00A35B93">
        <w:rPr>
          <w:rFonts w:ascii="Times New Roman" w:hAnsi="Times New Roman" w:cs="Times New Roman"/>
        </w:rPr>
        <w:t>prevention</w:t>
      </w:r>
      <w:proofErr w:type="gramEnd"/>
      <w:r w:rsidRPr="00A35B93">
        <w:rPr>
          <w:rFonts w:ascii="Times New Roman" w:hAnsi="Times New Roman" w:cs="Times New Roman"/>
        </w:rPr>
        <w:t xml:space="preserve"> access across populations.</w:t>
      </w:r>
    </w:p>
    <w:p w14:paraId="10AD6907"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18" w:name="X81a229233e15efc653e8269c1f5e072beae950b"/>
      <w:bookmarkEnd w:id="17"/>
      <w:r w:rsidRPr="00A35B93">
        <w:rPr>
          <w:rFonts w:ascii="Times New Roman" w:hAnsi="Times New Roman" w:cs="Times New Roman"/>
          <w:b/>
          <w:bCs/>
          <w:color w:val="auto"/>
          <w:sz w:val="24"/>
          <w:szCs w:val="24"/>
        </w:rPr>
        <w:t>2.6 Health System Context and Universal Health Coverage</w:t>
      </w:r>
    </w:p>
    <w:p w14:paraId="67A2DC8D"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Understanding the role of primary care in health systems and health outcomes is essential context for status-neutral implementation. Primary care has been shown to help prevent illness and death and is associated with more equitable distribution of health in populations (</w:t>
      </w:r>
      <w:hyperlink w:anchor="ref-brbara2005">
        <w:r w:rsidR="00501BF8" w:rsidRPr="00A35B93">
          <w:rPr>
            <w:rStyle w:val="af"/>
            <w:rFonts w:ascii="Times New Roman" w:hAnsi="Times New Roman" w:cs="Times New Roman"/>
            <w:color w:val="auto"/>
          </w:rPr>
          <w:t>Starfield et al., 2005</w:t>
        </w:r>
      </w:hyperlink>
      <w:r w:rsidRPr="00A35B93">
        <w:rPr>
          <w:rFonts w:ascii="Times New Roman" w:hAnsi="Times New Roman" w:cs="Times New Roman"/>
        </w:rPr>
        <w:t>). This fundamental role of primary care supports the integration of HIV services into primary healthcare platforms.</w:t>
      </w:r>
    </w:p>
    <w:p w14:paraId="6DF3F119" w14:textId="2915DD79" w:rsidR="00501BF8" w:rsidRPr="00A35B93" w:rsidRDefault="00501BF8" w:rsidP="00A35B93">
      <w:pPr>
        <w:spacing w:line="360" w:lineRule="auto"/>
        <w:jc w:val="both"/>
        <w:rPr>
          <w:rFonts w:ascii="Times New Roman" w:hAnsi="Times New Roman" w:cs="Times New Roman"/>
        </w:rPr>
      </w:pPr>
    </w:p>
    <w:p w14:paraId="42755128"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19" w:name="conceptual-framework"/>
      <w:bookmarkEnd w:id="8"/>
      <w:bookmarkEnd w:id="18"/>
      <w:r w:rsidRPr="00A35B93">
        <w:rPr>
          <w:rFonts w:ascii="Times New Roman" w:hAnsi="Times New Roman" w:cs="Times New Roman"/>
          <w:b/>
          <w:bCs/>
          <w:color w:val="auto"/>
          <w:sz w:val="24"/>
          <w:szCs w:val="24"/>
        </w:rPr>
        <w:t>3. CONCEPTUAL FRAMEWORK</w:t>
      </w:r>
    </w:p>
    <w:p w14:paraId="29B735C9"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0" w:name="Xe824082a0f45281c82a852babe097adbb6eba2c"/>
      <w:r w:rsidRPr="00A35B93">
        <w:rPr>
          <w:rFonts w:ascii="Times New Roman" w:hAnsi="Times New Roman" w:cs="Times New Roman"/>
          <w:b/>
          <w:bCs/>
          <w:color w:val="auto"/>
          <w:sz w:val="24"/>
          <w:szCs w:val="24"/>
        </w:rPr>
        <w:t>3.1 Status-Neutral Care Model Definition and Components</w:t>
      </w:r>
    </w:p>
    <w:p w14:paraId="74973A15"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status-neutral HIV care model represents an integrated service delivery framework that removes artificial divisions between services for HIV-positive and HIV-negative individuals. This comprehensive approach combines prevention, testing, treatment, and routine primary care into unified platforms accessible to all individuals regardless of HIV serostatus.</w:t>
      </w:r>
    </w:p>
    <w:p w14:paraId="689C1E34"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Core Components:</w:t>
      </w:r>
    </w:p>
    <w:p w14:paraId="483FA45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Component 1: Universal Prevention Access</w:t>
      </w:r>
      <w:r w:rsidRPr="00A35B93">
        <w:rPr>
          <w:rFonts w:ascii="Times New Roman" w:hAnsi="Times New Roman" w:cs="Times New Roman"/>
        </w:rPr>
        <w:t xml:space="preserve"> The model provides pre-exposure prophylaxis and post-exposure prophylaxis to individuals at substantial risk of HIV acquisition, integrated within routine primary care settings. This removes stigmatizing requirements for individuals to specifically access “HIV prevention clinics” and normalizes HIV prevention as a standard component of comprehensive healthcare.</w:t>
      </w:r>
    </w:p>
    <w:p w14:paraId="4C910D60"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lastRenderedPageBreak/>
        <w:t>Component 2: Streamlined Testing and Linkage</w:t>
      </w:r>
      <w:r w:rsidRPr="00A35B93">
        <w:rPr>
          <w:rFonts w:ascii="Times New Roman" w:hAnsi="Times New Roman" w:cs="Times New Roman"/>
        </w:rPr>
        <w:t xml:space="preserve"> HIV testing is integrated into routine healthcare encounters, with immediate linkage to appropriate services regardless of test results. Individuals testing negative receive prevention counseling and PrEP assessment. Individuals testing positive receive immediate linkage to treatment initiation following current “test-and-treat” protocols.</w:t>
      </w:r>
    </w:p>
    <w:p w14:paraId="73BAFF4D"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Component 3: Comprehensive Treatment Services</w:t>
      </w:r>
      <w:r w:rsidRPr="00A35B93">
        <w:rPr>
          <w:rFonts w:ascii="Times New Roman" w:hAnsi="Times New Roman" w:cs="Times New Roman"/>
        </w:rPr>
        <w:t xml:space="preserve"> Antiretroviral therapy is provided within primary care settings using task-sharing models, with specialist referral available for complex cases. This reduces the number of separate clinical touchpoints and enhances continuity of care.</w:t>
      </w:r>
    </w:p>
    <w:p w14:paraId="67E12E99"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Component 4: Integrated Primary Healthcare</w:t>
      </w:r>
      <w:r w:rsidRPr="00A35B93">
        <w:rPr>
          <w:rFonts w:ascii="Times New Roman" w:hAnsi="Times New Roman" w:cs="Times New Roman"/>
        </w:rPr>
        <w:t xml:space="preserve"> All individuals, regardless of HIV status, receive comprehensive primary care addressing comorbidities, mental health, sexual and reproductive health, and other healthcare needs within a unified service delivery framework. This holistic approach recognizes that people living with HIV have healthcare needs extending beyond HIV-specific services.</w:t>
      </w:r>
    </w:p>
    <w:p w14:paraId="44C586B6"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Component 5: Community Engagement and Peer Support</w:t>
      </w:r>
      <w:r w:rsidRPr="00A35B93">
        <w:rPr>
          <w:rFonts w:ascii="Times New Roman" w:hAnsi="Times New Roman" w:cs="Times New Roman"/>
        </w:rPr>
        <w:t xml:space="preserve"> Community health workers and peer navigators facilitate service access, provide psychosocial support, and address social determinants of health. This community engagement enhances the acceptability and sustainability of integrated services.</w:t>
      </w:r>
    </w:p>
    <w:p w14:paraId="68CDD9DE"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1" w:name="X300c1ab534d81520fedcccdabfad834bde9b2ae"/>
      <w:bookmarkEnd w:id="20"/>
      <w:r w:rsidRPr="00A35B93">
        <w:rPr>
          <w:rFonts w:ascii="Times New Roman" w:hAnsi="Times New Roman" w:cs="Times New Roman"/>
          <w:b/>
          <w:bCs/>
          <w:color w:val="auto"/>
          <w:sz w:val="24"/>
          <w:szCs w:val="24"/>
        </w:rPr>
        <w:t>3.2 Economic Modeling Approach for Hong Kong Context</w:t>
      </w:r>
    </w:p>
    <w:p w14:paraId="3C2C0D1D"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economic evaluation framework adopts established principles for health economic analysis while recognizing context-specific considerations relevant to Hong Kong’s healthcare system, epidemiology, and fiscal environment.</w:t>
      </w:r>
    </w:p>
    <w:p w14:paraId="00FFE7D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Modeling Perspective:</w:t>
      </w:r>
      <w:r w:rsidRPr="00A35B93">
        <w:rPr>
          <w:rFonts w:ascii="Times New Roman" w:hAnsi="Times New Roman" w:cs="Times New Roman"/>
        </w:rPr>
        <w:t xml:space="preserve"> The analysis adopts a health system perspective, capturing direct medical costs and health outcomes relevant to healthcare payers and providers. While societal perspective analyses provide important context, the health system perspective aligns with decision-making authority of healthcare administrators and policymakers in Hong Kong.</w:t>
      </w:r>
    </w:p>
    <w:p w14:paraId="746E799F"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lastRenderedPageBreak/>
        <w:t>Time Horizon:</w:t>
      </w:r>
      <w:r w:rsidRPr="00A35B93">
        <w:rPr>
          <w:rFonts w:ascii="Times New Roman" w:hAnsi="Times New Roman" w:cs="Times New Roman"/>
        </w:rPr>
        <w:t xml:space="preserve"> A 40-year time horizon is employed to adequately capture long-term costs and benefits of HIV prevention and treatment interventions. This extended horizon ensures that lifetime treatment costs for prevented infections and sustained health benefits from improved care cascade performance are appropriately considered.</w:t>
      </w:r>
    </w:p>
    <w:p w14:paraId="4D3CCA63"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Discount Rate:</w:t>
      </w:r>
      <w:r w:rsidRPr="00A35B93">
        <w:rPr>
          <w:rFonts w:ascii="Times New Roman" w:hAnsi="Times New Roman" w:cs="Times New Roman"/>
        </w:rPr>
        <w:t xml:space="preserve"> Future costs and health benefits are discounted at 3% per annum, consistent with international guidelines for health economic evaluation. Sensitivity analyses explore alternative discount rates to examine the impact of discounting assumptions on cost-effectiveness estimates.</w:t>
      </w:r>
    </w:p>
    <w:p w14:paraId="302D267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Target Population:</w:t>
      </w:r>
      <w:r w:rsidRPr="00A35B93">
        <w:rPr>
          <w:rFonts w:ascii="Times New Roman" w:hAnsi="Times New Roman" w:cs="Times New Roman"/>
        </w:rPr>
        <w:t xml:space="preserve"> The model focuses on implementation in targeted Hong Kong districts with higher HIV prevalence and concentration of key populations. This </w:t>
      </w:r>
      <w:proofErr w:type="gramStart"/>
      <w:r w:rsidRPr="00A35B93">
        <w:rPr>
          <w:rFonts w:ascii="Times New Roman" w:hAnsi="Times New Roman" w:cs="Times New Roman"/>
        </w:rPr>
        <w:t>targeting</w:t>
      </w:r>
      <w:proofErr w:type="gramEnd"/>
      <w:r w:rsidRPr="00A35B93">
        <w:rPr>
          <w:rFonts w:ascii="Times New Roman" w:hAnsi="Times New Roman" w:cs="Times New Roman"/>
        </w:rPr>
        <w:t xml:space="preserve"> strategy maximizes cost-effectiveness by focusing resources where HIV transmission risk is highest and potential impact greatest.</w:t>
      </w:r>
    </w:p>
    <w:p w14:paraId="4F2A39D0"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2" w:name="cost-benefit-analysis-framework"/>
      <w:bookmarkEnd w:id="21"/>
      <w:r w:rsidRPr="00A35B93">
        <w:rPr>
          <w:rFonts w:ascii="Times New Roman" w:hAnsi="Times New Roman" w:cs="Times New Roman"/>
          <w:b/>
          <w:bCs/>
          <w:color w:val="auto"/>
          <w:sz w:val="24"/>
          <w:szCs w:val="24"/>
        </w:rPr>
        <w:t>3.3 Cost-Benefit Analysis Framework</w:t>
      </w:r>
    </w:p>
    <w:p w14:paraId="21F8C771"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cost-benefit analysis framework systematically identifies, measures, and values all relevant costs and benefits associated with status-neutral care implementation.</w:t>
      </w:r>
    </w:p>
    <w:p w14:paraId="6007FC96"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Cost Categories:</w:t>
      </w:r>
    </w:p>
    <w:p w14:paraId="2D71EBB9"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Implementation Costs:</w:t>
      </w:r>
      <w:r w:rsidRPr="00A35B93">
        <w:rPr>
          <w:rFonts w:ascii="Times New Roman" w:hAnsi="Times New Roman" w:cs="Times New Roman"/>
        </w:rPr>
        <w:t xml:space="preserve"> - Healthcare facility adaptation and infrastructure development - Information system upgrades for integrated service delivery - Development of clinical protocols and service delivery guidelines - Initial workforce training and capacity building - Community mobilization and stakeholder engagement</w:t>
      </w:r>
    </w:p>
    <w:p w14:paraId="066CDAE6"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Ongoing Service Delivery Costs:</w:t>
      </w:r>
      <w:r w:rsidRPr="00A35B93">
        <w:rPr>
          <w:rFonts w:ascii="Times New Roman" w:hAnsi="Times New Roman" w:cs="Times New Roman"/>
        </w:rPr>
        <w:t xml:space="preserve"> - Pre-exposure prophylaxis medication and monitoring - HIV testing services and point-of-care diagnostics - Antiretroviral therapy for treatment-as-prevention - Primary care service provision and care coordination - Laboratory monitoring and diagnostic services - Personnel costs including healthcare workers and support staff - Administrative overhead and program management</w:t>
      </w:r>
    </w:p>
    <w:p w14:paraId="19164FFF"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Benefit Categories:</w:t>
      </w:r>
    </w:p>
    <w:p w14:paraId="0807A416"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lastRenderedPageBreak/>
        <w:t>Direct Health System Benefits:</w:t>
      </w:r>
      <w:r w:rsidRPr="00A35B93">
        <w:rPr>
          <w:rFonts w:ascii="Times New Roman" w:hAnsi="Times New Roman" w:cs="Times New Roman"/>
        </w:rPr>
        <w:t xml:space="preserve"> - HIV infections averted and associated lifetime treatment costs saved - Reduced disease progression and opportunistic infection costs - Decreased hospitalizations and emergency department visits - Improved medication adherence reducing treatment failure costs - Enhanced viral suppression reducing transmission and secondary infections</w:t>
      </w:r>
    </w:p>
    <w:p w14:paraId="282E872E"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Health System Efficiency Gains:</w:t>
      </w:r>
      <w:r w:rsidRPr="00A35B93">
        <w:rPr>
          <w:rFonts w:ascii="Times New Roman" w:hAnsi="Times New Roman" w:cs="Times New Roman"/>
        </w:rPr>
        <w:t xml:space="preserve"> - Reduced service fragmentation and duplicate administrative processes - Improved care coordination reducing inefficiencies - Enhanced data systems improving program monitoring and evaluation - Task-sharing models optimizing workforce utilization - Economies of scale from integrated service platforms</w:t>
      </w:r>
    </w:p>
    <w:p w14:paraId="1C04C97A"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Population Health Benefits:</w:t>
      </w:r>
      <w:r w:rsidRPr="00A35B93">
        <w:rPr>
          <w:rFonts w:ascii="Times New Roman" w:hAnsi="Times New Roman" w:cs="Times New Roman"/>
        </w:rPr>
        <w:t xml:space="preserve"> - Disability-adjusted life years gained through HIV prevention - Quality-adjusted life years gained from improved care cascade performance - Comorbidity management through integrated primary care - Mental health benefits from reduced HIV-related stigma - Sexual and reproductive health improvements</w:t>
      </w:r>
    </w:p>
    <w:p w14:paraId="7EB21805"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Secondary Economic Benefits:</w:t>
      </w:r>
      <w:r w:rsidRPr="00A35B93">
        <w:rPr>
          <w:rFonts w:ascii="Times New Roman" w:hAnsi="Times New Roman" w:cs="Times New Roman"/>
        </w:rPr>
        <w:t xml:space="preserve"> - Reduced caregiver burden and associated costs - Productivity gains from improved health outcomes - Reduced HIV-related stigma enhancing social participation - Prevention of orphanhood and associated social costs</w:t>
      </w:r>
    </w:p>
    <w:p w14:paraId="11507BB2"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3" w:name="key-assumptions-and-parameters"/>
      <w:bookmarkEnd w:id="22"/>
      <w:r w:rsidRPr="00A35B93">
        <w:rPr>
          <w:rFonts w:ascii="Times New Roman" w:hAnsi="Times New Roman" w:cs="Times New Roman"/>
          <w:b/>
          <w:bCs/>
          <w:color w:val="auto"/>
          <w:sz w:val="24"/>
          <w:szCs w:val="24"/>
        </w:rPr>
        <w:t>3.4 Key Assumptions and Parameters</w:t>
      </w:r>
    </w:p>
    <w:p w14:paraId="57A60326"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economic model incorporates evidence-based assumptions and parameters derived from international literature and adapted to Hong Kong context where local data are available.</w:t>
      </w:r>
    </w:p>
    <w:p w14:paraId="16D3BE72"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Epidemiological Parameters:</w:t>
      </w:r>
      <w:r w:rsidRPr="00A35B93">
        <w:rPr>
          <w:rFonts w:ascii="Times New Roman" w:hAnsi="Times New Roman" w:cs="Times New Roman"/>
        </w:rPr>
        <w:t xml:space="preserve"> - HIV incidence rates among key populations in Hong Kong - Transmission probabilities by exposure type and viral load - Natural history of HIV infection and disease progression - Antiretroviral therapy efficacy and viral suppression rates - Pre-exposure prophylaxis effectiveness and adherence patterns</w:t>
      </w:r>
    </w:p>
    <w:p w14:paraId="543DD5A2"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Service Delivery Parameters:</w:t>
      </w:r>
      <w:r w:rsidRPr="00A35B93">
        <w:rPr>
          <w:rFonts w:ascii="Times New Roman" w:hAnsi="Times New Roman" w:cs="Times New Roman"/>
        </w:rPr>
        <w:t xml:space="preserve"> - HIV testing uptake and frequency across populations - Linkage to care rates and time to treatment initiation - Retention in care and loss to follow-up rates - Viral suppression achievement and maintenance - Pre-exposure prophylaxis initiation, adherence, and continuation</w:t>
      </w:r>
    </w:p>
    <w:p w14:paraId="633986D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lastRenderedPageBreak/>
        <w:t>Cost Parameters:</w:t>
      </w:r>
      <w:r w:rsidRPr="00A35B93">
        <w:rPr>
          <w:rFonts w:ascii="Times New Roman" w:hAnsi="Times New Roman" w:cs="Times New Roman"/>
        </w:rPr>
        <w:t xml:space="preserve"> - Antiretroviral medication costs (treatment and prevention) - Laboratory monitoring costs (viral load, CD4 count, safety labs) - Healthcare personnel costs by cadre and function - Facility and infrastructure costs - Administrative and program management costs</w:t>
      </w:r>
    </w:p>
    <w:p w14:paraId="23C4984E" w14:textId="416FD835" w:rsidR="00501BF8" w:rsidRPr="00A35B93" w:rsidRDefault="0049225D" w:rsidP="00A35B93">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7AC6445D" wp14:editId="103356A0">
            <wp:extent cx="5486400" cy="3907790"/>
            <wp:effectExtent l="0" t="0" r="0" b="0"/>
            <wp:docPr id="1227174734"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74734" name="图片 1" descr="图示&#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907790"/>
                    </a:xfrm>
                    <a:prstGeom prst="rect">
                      <a:avLst/>
                    </a:prstGeom>
                  </pic:spPr>
                </pic:pic>
              </a:graphicData>
            </a:graphic>
          </wp:inline>
        </w:drawing>
      </w:r>
    </w:p>
    <w:p w14:paraId="4813AA0C"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24" w:name="methodology"/>
      <w:bookmarkEnd w:id="19"/>
      <w:bookmarkEnd w:id="23"/>
      <w:r w:rsidRPr="00A35B93">
        <w:rPr>
          <w:rFonts w:ascii="Times New Roman" w:hAnsi="Times New Roman" w:cs="Times New Roman"/>
          <w:b/>
          <w:bCs/>
          <w:color w:val="auto"/>
          <w:sz w:val="24"/>
          <w:szCs w:val="24"/>
        </w:rPr>
        <w:t>4. METHODOLOGY</w:t>
      </w:r>
    </w:p>
    <w:p w14:paraId="356F73AA"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5" w:name="economic-modeling-strategy"/>
      <w:r w:rsidRPr="00A35B93">
        <w:rPr>
          <w:rFonts w:ascii="Times New Roman" w:hAnsi="Times New Roman" w:cs="Times New Roman"/>
          <w:b/>
          <w:bCs/>
          <w:color w:val="auto"/>
          <w:sz w:val="24"/>
          <w:szCs w:val="24"/>
        </w:rPr>
        <w:t>4.1 Economic Modeling Strategy</w:t>
      </w:r>
    </w:p>
    <w:p w14:paraId="0FB50A6A" w14:textId="77777777" w:rsidR="00501BF8" w:rsidRPr="00A35B93" w:rsidRDefault="00000000" w:rsidP="00A35B93">
      <w:pPr>
        <w:pStyle w:val="FirstParagraph"/>
        <w:spacing w:line="360" w:lineRule="auto"/>
        <w:jc w:val="both"/>
        <w:rPr>
          <w:rFonts w:ascii="Times New Roman" w:hAnsi="Times New Roman" w:cs="Times New Roman"/>
        </w:rPr>
      </w:pPr>
      <w:proofErr w:type="gramStart"/>
      <w:r w:rsidRPr="00A35B93">
        <w:rPr>
          <w:rFonts w:ascii="Times New Roman" w:hAnsi="Times New Roman" w:cs="Times New Roman"/>
        </w:rPr>
        <w:t>The economic</w:t>
      </w:r>
      <w:proofErr w:type="gramEnd"/>
      <w:r w:rsidRPr="00A35B93">
        <w:rPr>
          <w:rFonts w:ascii="Times New Roman" w:hAnsi="Times New Roman" w:cs="Times New Roman"/>
        </w:rPr>
        <w:t xml:space="preserve"> evaluation employs a dynamic compartmental model to simulate HIV transmission dynamics and care cascade progression over time. This modeling approach allows for explicit representation of HIV incidence, prevalence, and the impact of prevention and treatment interventions on epidemic trajectories.</w:t>
      </w:r>
    </w:p>
    <w:p w14:paraId="2F5D4D31"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Model Structure:</w:t>
      </w:r>
      <w:r w:rsidRPr="00A35B93">
        <w:rPr>
          <w:rFonts w:ascii="Times New Roman" w:hAnsi="Times New Roman" w:cs="Times New Roman"/>
        </w:rPr>
        <w:t xml:space="preserve"> The population is stratified by HIV status (negative, infected but undiagnosed, diagnosed but not on treatment, on treatment), risk group (MSM, people who inject drugs, heterosexual populations, sex workers), and engagement with healthcare </w:t>
      </w:r>
      <w:r w:rsidRPr="00A35B93">
        <w:rPr>
          <w:rFonts w:ascii="Times New Roman" w:hAnsi="Times New Roman" w:cs="Times New Roman"/>
        </w:rPr>
        <w:lastRenderedPageBreak/>
        <w:t>services (in care, out of care, on PrEP, not on PrEP). Individuals transition between compartments based on epidemiological and behavioral parameters.</w:t>
      </w:r>
    </w:p>
    <w:p w14:paraId="29670B9F"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Baseline Scenario:</w:t>
      </w:r>
      <w:r w:rsidRPr="00A35B93">
        <w:rPr>
          <w:rFonts w:ascii="Times New Roman" w:hAnsi="Times New Roman" w:cs="Times New Roman"/>
        </w:rPr>
        <w:t xml:space="preserve"> The baseline scenario reflects current HIV service delivery in Hong Kong, with separate pathways for prevention services and HIV treatment. This includes existing HIV testing services, antiretroviral therapy provision through specialized clinics, and limited PrEP access primarily through research or demonstration projects.</w:t>
      </w:r>
    </w:p>
    <w:p w14:paraId="71359CCA"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Intervention Scenario:</w:t>
      </w:r>
      <w:r w:rsidRPr="00A35B93">
        <w:rPr>
          <w:rFonts w:ascii="Times New Roman" w:hAnsi="Times New Roman" w:cs="Times New Roman"/>
        </w:rPr>
        <w:t xml:space="preserve"> The intervention scenario models implementation of status-neutral care in targeted districts, with integrated prevention and primary care delivery. Key intervention components include expanded PrEP access integrated into primary care, routine opt-out HIV testing in healthcare settings, immediate treatment initiation following diagnosis, and comprehensive primary care for all individuals regardless of HIV status.</w:t>
      </w:r>
    </w:p>
    <w:p w14:paraId="30CCDCE8"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Comparison:</w:t>
      </w:r>
      <w:r w:rsidRPr="00A35B93">
        <w:rPr>
          <w:rFonts w:ascii="Times New Roman" w:hAnsi="Times New Roman" w:cs="Times New Roman"/>
        </w:rPr>
        <w:t xml:space="preserve"> The incremental costs and benefits of the intervention scenario compared to baseline are calculated over the 40-year time horizon. This difference-in-difference approach isolates the specific impact attributable to status-neutral care implementation.</w:t>
      </w:r>
    </w:p>
    <w:p w14:paraId="3E437CEF"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6" w:name="data-sources-and-parameters"/>
      <w:bookmarkEnd w:id="25"/>
      <w:r w:rsidRPr="00A35B93">
        <w:rPr>
          <w:rFonts w:ascii="Times New Roman" w:hAnsi="Times New Roman" w:cs="Times New Roman"/>
          <w:b/>
          <w:bCs/>
          <w:color w:val="auto"/>
          <w:sz w:val="24"/>
          <w:szCs w:val="24"/>
        </w:rPr>
        <w:t>4.2 Data Sources and Parameters</w:t>
      </w:r>
    </w:p>
    <w:p w14:paraId="3E1CAFB2"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b/>
          <w:bCs/>
        </w:rPr>
        <w:t>Hong Kong Epidemiological Data:</w:t>
      </w:r>
      <w:r w:rsidRPr="00A35B93">
        <w:rPr>
          <w:rFonts w:ascii="Times New Roman" w:hAnsi="Times New Roman" w:cs="Times New Roman"/>
        </w:rPr>
        <w:t xml:space="preserve"> HIV surveillance data from the Hong Kong Department of Health provides information on annual new diagnoses, prevalence estimates, and epidemic trends. Where Hong Kong-specific data are unavailable, parameters are drawn from regional studies in comparable settings or international literature with appropriate adjustment for local context.</w:t>
      </w:r>
    </w:p>
    <w:p w14:paraId="6D8D1574"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Service Utilization Data:</w:t>
      </w:r>
      <w:r w:rsidRPr="00A35B93">
        <w:rPr>
          <w:rFonts w:ascii="Times New Roman" w:hAnsi="Times New Roman" w:cs="Times New Roman"/>
        </w:rPr>
        <w:t xml:space="preserve"> Healthcare utilization patterns are estimated from published studies of HIV service delivery in Hong Kong and similar urban Asian settings.</w:t>
      </w:r>
    </w:p>
    <w:p w14:paraId="587D0284"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Cost Data:</w:t>
      </w:r>
      <w:r w:rsidRPr="00A35B93">
        <w:rPr>
          <w:rFonts w:ascii="Times New Roman" w:hAnsi="Times New Roman" w:cs="Times New Roman"/>
        </w:rPr>
        <w:t xml:space="preserve"> Medication costs are based on Hong Kong Hospital Authority procurement prices. Personnel costs reflect Hong Kong healthcare worker salary scales. Infrastructure and overhead costs are estimated from health system financing analyses. Laboratory test costs derive from local pricing schedules.</w:t>
      </w:r>
    </w:p>
    <w:p w14:paraId="4ED67A10"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Effectiveness Parameters:</w:t>
      </w:r>
      <w:r w:rsidRPr="00A35B93">
        <w:rPr>
          <w:rFonts w:ascii="Times New Roman" w:hAnsi="Times New Roman" w:cs="Times New Roman"/>
        </w:rPr>
        <w:t xml:space="preserve"> Pre-exposure prophylaxis effectiveness estimates derive from clinical trials and real-world implementation studies. Antiretroviral therapy effectiveness </w:t>
      </w:r>
      <w:r w:rsidRPr="00A35B93">
        <w:rPr>
          <w:rFonts w:ascii="Times New Roman" w:hAnsi="Times New Roman" w:cs="Times New Roman"/>
        </w:rPr>
        <w:lastRenderedPageBreak/>
        <w:t>for viral suppression is set at 95% for adherent patients on first-line regimens. HIV testing sensitivity and specificity reflect contemporary rapid testing technologies.</w:t>
      </w:r>
    </w:p>
    <w:p w14:paraId="1515982C"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7" w:name="outcome-measures"/>
      <w:bookmarkEnd w:id="26"/>
      <w:r w:rsidRPr="00A35B93">
        <w:rPr>
          <w:rFonts w:ascii="Times New Roman" w:hAnsi="Times New Roman" w:cs="Times New Roman"/>
          <w:b/>
          <w:bCs/>
          <w:color w:val="auto"/>
          <w:sz w:val="24"/>
          <w:szCs w:val="24"/>
        </w:rPr>
        <w:t>4.3 Outcome Measures</w:t>
      </w:r>
    </w:p>
    <w:p w14:paraId="787B9A16"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b/>
          <w:bCs/>
        </w:rPr>
        <w:t>Primary Outcome:</w:t>
      </w:r>
      <w:r w:rsidRPr="00A35B93">
        <w:rPr>
          <w:rFonts w:ascii="Times New Roman" w:hAnsi="Times New Roman" w:cs="Times New Roman"/>
        </w:rPr>
        <w:t xml:space="preserve"> The primary outcome is the incremental cost-effectiveness ratio, expressed as cost per disability-adjusted life year (DALY) averted. This measure allows comparison with other health interventions competing for limited resources within Hong Kong’s healthcare system.</w:t>
      </w:r>
    </w:p>
    <w:p w14:paraId="38D3307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Secondary Outcomes:</w:t>
      </w:r>
      <w:r w:rsidRPr="00A35B93">
        <w:rPr>
          <w:rFonts w:ascii="Times New Roman" w:hAnsi="Times New Roman" w:cs="Times New Roman"/>
        </w:rPr>
        <w:t xml:space="preserve"> - HIV infections averted over the 40-year time horizon - Life years gained through prevention and improved treatment outcomes - Quality-adjusted life years gained - Cost per HIV infection averted - Net costs or savings from a health system perspective - Benefit-cost ratio - Return on investment</w:t>
      </w:r>
    </w:p>
    <w:p w14:paraId="18F7CD81"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8" w:name="sensitivity-analysis"/>
      <w:bookmarkEnd w:id="27"/>
      <w:r w:rsidRPr="00A35B93">
        <w:rPr>
          <w:rFonts w:ascii="Times New Roman" w:hAnsi="Times New Roman" w:cs="Times New Roman"/>
          <w:b/>
          <w:bCs/>
          <w:color w:val="auto"/>
          <w:sz w:val="24"/>
          <w:szCs w:val="24"/>
        </w:rPr>
        <w:t>4.4 Sensitivity Analysis</w:t>
      </w:r>
    </w:p>
    <w:p w14:paraId="75939A23"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Extensive sensitivity analyses examine the robustness of findings to uncertainty in key parameters and assumptions.</w:t>
      </w:r>
    </w:p>
    <w:p w14:paraId="3A8D2D79"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One-Way Sensitivity Analysis:</w:t>
      </w:r>
      <w:r w:rsidRPr="00A35B93">
        <w:rPr>
          <w:rFonts w:ascii="Times New Roman" w:hAnsi="Times New Roman" w:cs="Times New Roman"/>
        </w:rPr>
        <w:t xml:space="preserve"> Each parameter </w:t>
      </w:r>
      <w:proofErr w:type="gramStart"/>
      <w:r w:rsidRPr="00A35B93">
        <w:rPr>
          <w:rFonts w:ascii="Times New Roman" w:hAnsi="Times New Roman" w:cs="Times New Roman"/>
        </w:rPr>
        <w:t>is varied</w:t>
      </w:r>
      <w:proofErr w:type="gramEnd"/>
      <w:r w:rsidRPr="00A35B93">
        <w:rPr>
          <w:rFonts w:ascii="Times New Roman" w:hAnsi="Times New Roman" w:cs="Times New Roman"/>
        </w:rPr>
        <w:t xml:space="preserve"> individually across plausible ranges while holding other parameters constant. This identifies the parameters exerting greatest influence on model outcomes and highlights areas where additional data collection would most reduce decision uncertainty.</w:t>
      </w:r>
    </w:p>
    <w:p w14:paraId="55163F11"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Probabilistic Sensitivity Analysis:</w:t>
      </w:r>
      <w:r w:rsidRPr="00A35B93">
        <w:rPr>
          <w:rFonts w:ascii="Times New Roman" w:hAnsi="Times New Roman" w:cs="Times New Roman"/>
        </w:rPr>
        <w:t xml:space="preserve"> Monte Carlo simulation with 10,000 iterations draws parameter values from specified probability distributions, generating distributions of outcomes and cost-effectiveness estimates. Cost-effectiveness acceptability curves illustrate the probability that status-neutral care is cost-effective across varying willingness-to-pay thresholds.</w:t>
      </w:r>
    </w:p>
    <w:p w14:paraId="517E4D49"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Scenario Analysis:</w:t>
      </w:r>
      <w:r w:rsidRPr="00A35B93">
        <w:rPr>
          <w:rFonts w:ascii="Times New Roman" w:hAnsi="Times New Roman" w:cs="Times New Roman"/>
        </w:rPr>
        <w:t xml:space="preserve"> Alternative scenarios examine different implementation approaches including phased rollout versus immediate full implementation, varying levels of PrEP uptake and adherence, different care cascade performance assumptions, and alternative financing mechanisms.</w:t>
      </w:r>
    </w:p>
    <w:p w14:paraId="7567C8C0"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29" w:name="ethical-and-equity-considerations"/>
      <w:bookmarkEnd w:id="28"/>
      <w:r w:rsidRPr="00A35B93">
        <w:rPr>
          <w:rFonts w:ascii="Times New Roman" w:hAnsi="Times New Roman" w:cs="Times New Roman"/>
          <w:b/>
          <w:bCs/>
          <w:color w:val="auto"/>
          <w:sz w:val="24"/>
          <w:szCs w:val="24"/>
        </w:rPr>
        <w:lastRenderedPageBreak/>
        <w:t>4.5 Ethical and Equity Considerations</w:t>
      </w:r>
    </w:p>
    <w:p w14:paraId="298D68C9"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The economic evaluation explicitly considers equity implications of status-neutral care implementation. Analysis examines differential access and outcomes across population subgroups including age, gender, socioeconomic status, and key population categories. The model assesses whether integrated service delivery reduces or exacerbates existing health inequities.</w:t>
      </w:r>
    </w:p>
    <w:p w14:paraId="30F9A463"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Cost-effectiveness thresholds reflect Hong Kong’s economic context and healthcare financing capacity. The analysis recognizes that interventions may be implemented for equity reasons even when cost-effectiveness ratios exceed conventional thresholds, particularly when targeting marginalized populations facing disproportionate disease burden and access barriers.</w:t>
      </w:r>
    </w:p>
    <w:p w14:paraId="74243ABC" w14:textId="57839D78" w:rsidR="00501BF8" w:rsidRPr="00A35B93" w:rsidRDefault="00501BF8" w:rsidP="00A35B93">
      <w:pPr>
        <w:spacing w:line="360" w:lineRule="auto"/>
        <w:jc w:val="both"/>
        <w:rPr>
          <w:rFonts w:ascii="Times New Roman" w:hAnsi="Times New Roman" w:cs="Times New Roman"/>
        </w:rPr>
      </w:pPr>
    </w:p>
    <w:p w14:paraId="2CEE3728"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30" w:name="results"/>
      <w:bookmarkEnd w:id="24"/>
      <w:bookmarkEnd w:id="29"/>
      <w:r w:rsidRPr="00A35B93">
        <w:rPr>
          <w:rFonts w:ascii="Times New Roman" w:hAnsi="Times New Roman" w:cs="Times New Roman"/>
          <w:b/>
          <w:bCs/>
          <w:color w:val="auto"/>
          <w:sz w:val="24"/>
          <w:szCs w:val="24"/>
        </w:rPr>
        <w:t>5. RESULTS</w:t>
      </w:r>
    </w:p>
    <w:p w14:paraId="49C6D2EC"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1" w:name="baseline-hiv-epidemic-projections"/>
      <w:r w:rsidRPr="00A35B93">
        <w:rPr>
          <w:rFonts w:ascii="Times New Roman" w:hAnsi="Times New Roman" w:cs="Times New Roman"/>
          <w:b/>
          <w:bCs/>
          <w:color w:val="auto"/>
          <w:sz w:val="24"/>
          <w:szCs w:val="24"/>
        </w:rPr>
        <w:t>5.1 Baseline HIV Epidemic Projections</w:t>
      </w:r>
    </w:p>
    <w:p w14:paraId="6B9675F5"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Under baseline conditions maintaining current service delivery patterns, the model projects continued HIV transmission in Hong Kong over the 40-year time horizon. Cumulative new infections are estimated at approximately 8,500 cases among the target districts’ population, with ongoing transmission concentrated among key populations, particularly MSM.</w:t>
      </w:r>
    </w:p>
    <w:p w14:paraId="06382A20"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The baseline HIV care cascade demonstrates significant attrition at multiple stages. An estimated 15% of people living with HIV remain undiagnosed. Among diagnosed individuals, 8% are not linked to care, 12% are not on antiretroviral therapy despite being linked to care, and 18% on treatment have not achieved viral suppression. These cascade gaps result in ongoing transmission and suboptimal health outcomes.</w:t>
      </w:r>
    </w:p>
    <w:p w14:paraId="33B4B351"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Baseline costs over the 40-year period total approximately HKD 4.2 billion (USD 540 million), including antiretroviral therapy costs of HKD 2.8 billion, monitoring and laboratory costs of HKD 0.8 billion, opportunistic infection treatment costs of HKD 0.4 billion, and hospitalization costs of HKD 0.2 billion.</w:t>
      </w:r>
    </w:p>
    <w:p w14:paraId="364FEBEA"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2" w:name="status-neutral-care-implementation-costs"/>
      <w:bookmarkEnd w:id="31"/>
      <w:r w:rsidRPr="00A35B93">
        <w:rPr>
          <w:rFonts w:ascii="Times New Roman" w:hAnsi="Times New Roman" w:cs="Times New Roman"/>
          <w:b/>
          <w:bCs/>
          <w:color w:val="auto"/>
          <w:sz w:val="24"/>
          <w:szCs w:val="24"/>
        </w:rPr>
        <w:lastRenderedPageBreak/>
        <w:t>5.2 Status-Neutral Care Implementation Costs</w:t>
      </w:r>
    </w:p>
    <w:p w14:paraId="331A4068"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Implementation of status-neutral care in targeted Hong Kong districts requires substantial upfront investment in health system strengthening, workforce development, and infrastructure adaptation.</w:t>
      </w:r>
    </w:p>
    <w:p w14:paraId="1125ABCD"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Initial Implementation Costs (Years 1-2):</w:t>
      </w:r>
      <w:r w:rsidRPr="00A35B93">
        <w:rPr>
          <w:rFonts w:ascii="Times New Roman" w:hAnsi="Times New Roman" w:cs="Times New Roman"/>
        </w:rPr>
        <w:t xml:space="preserve"> - Healthcare facility adaptation: HKD 45 million - Information system upgrades: HKD 30 million - Clinical protocol development: HKD 8 million - Initial workforce training: HKD 25 million - Community mobilization: HKD 12 million - </w:t>
      </w:r>
      <w:r w:rsidRPr="00A35B93">
        <w:rPr>
          <w:rFonts w:ascii="Times New Roman" w:hAnsi="Times New Roman" w:cs="Times New Roman"/>
          <w:b/>
          <w:bCs/>
        </w:rPr>
        <w:t>Total Initial Investment: HKD 120 million (USD 15.4 million)</w:t>
      </w:r>
    </w:p>
    <w:p w14:paraId="6D3C9F07"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Annual Ongoing Service Delivery Costs:</w:t>
      </w:r>
      <w:r w:rsidRPr="00A35B93">
        <w:rPr>
          <w:rFonts w:ascii="Times New Roman" w:hAnsi="Times New Roman" w:cs="Times New Roman"/>
        </w:rPr>
        <w:t xml:space="preserve"> - Pre-exposure prophylaxis provision (medication and monitoring): HKD 85 million - Enhanced HIV testing services: HKD 18 million - Integrated primary care delivery: HKD 95 million - Care coordination and navigation: HKD 22 million - Laboratory monitoring: HKD 35 million - Personnel (incremental costs): HKD 65 million - Administrative overhead: HKD 15 million - </w:t>
      </w:r>
      <w:r w:rsidRPr="00A35B93">
        <w:rPr>
          <w:rFonts w:ascii="Times New Roman" w:hAnsi="Times New Roman" w:cs="Times New Roman"/>
          <w:b/>
          <w:bCs/>
        </w:rPr>
        <w:t>Total Annual Ongoing Costs: HKD 335 million (USD 43 million)</w:t>
      </w:r>
    </w:p>
    <w:p w14:paraId="49ADBB4A"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 xml:space="preserve">Over the 40-year time horizon, </w:t>
      </w:r>
      <w:proofErr w:type="gramStart"/>
      <w:r w:rsidRPr="00A35B93">
        <w:rPr>
          <w:rFonts w:ascii="Times New Roman" w:hAnsi="Times New Roman" w:cs="Times New Roman"/>
        </w:rPr>
        <w:t>cumulative</w:t>
      </w:r>
      <w:proofErr w:type="gramEnd"/>
      <w:r w:rsidRPr="00A35B93">
        <w:rPr>
          <w:rFonts w:ascii="Times New Roman" w:hAnsi="Times New Roman" w:cs="Times New Roman"/>
        </w:rPr>
        <w:t xml:space="preserve"> discounted costs of status-neutral care implementation total HKD 5.8 billion (USD 745 million), representing an incremental cost of HKD 1.6 billion (USD 205 million) compared to baseline.</w:t>
      </w:r>
    </w:p>
    <w:p w14:paraId="28F6E784" w14:textId="114A2AAA" w:rsidR="00501BF8" w:rsidRPr="0049225D" w:rsidRDefault="00000000" w:rsidP="00A35B93">
      <w:pPr>
        <w:pStyle w:val="a0"/>
        <w:spacing w:line="360" w:lineRule="auto"/>
        <w:jc w:val="both"/>
        <w:rPr>
          <w:rFonts w:ascii="Times New Roman" w:hAnsi="Times New Roman" w:cs="Times New Roman"/>
          <w:i/>
          <w:iCs/>
        </w:rPr>
      </w:pPr>
      <w:r w:rsidRPr="0049225D">
        <w:rPr>
          <w:rFonts w:ascii="Times New Roman" w:hAnsi="Times New Roman" w:cs="Times New Roman"/>
          <w:b/>
          <w:bCs/>
          <w:i/>
          <w:iCs/>
        </w:rPr>
        <w:t>Figure 2: Cost Breakdown of Status-Neutral Care Implementation</w:t>
      </w:r>
      <w:r w:rsidRPr="0049225D">
        <w:rPr>
          <w:rFonts w:ascii="Times New Roman" w:hAnsi="Times New Roman" w:cs="Times New Roman"/>
          <w:i/>
          <w:iCs/>
        </w:rPr>
        <w:t xml:space="preserve"> </w:t>
      </w:r>
    </w:p>
    <w:p w14:paraId="10D3E6E5" w14:textId="6E80C73A" w:rsidR="0049225D" w:rsidRPr="00A35B93" w:rsidRDefault="0049225D" w:rsidP="00A35B93">
      <w:pPr>
        <w:pStyle w:val="a0"/>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5D67F4C7" wp14:editId="1502318B">
            <wp:extent cx="5486400" cy="2411095"/>
            <wp:effectExtent l="0" t="0" r="0" b="0"/>
            <wp:docPr id="13543132" name="图片 2"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132" name="图片 2" descr="图表&#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2411095"/>
                    </a:xfrm>
                    <a:prstGeom prst="rect">
                      <a:avLst/>
                    </a:prstGeom>
                  </pic:spPr>
                </pic:pic>
              </a:graphicData>
            </a:graphic>
          </wp:inline>
        </w:drawing>
      </w:r>
    </w:p>
    <w:p w14:paraId="231C806E"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3" w:name="health-benefits-and-infections-averted"/>
      <w:bookmarkEnd w:id="32"/>
      <w:r w:rsidRPr="00A35B93">
        <w:rPr>
          <w:rFonts w:ascii="Times New Roman" w:hAnsi="Times New Roman" w:cs="Times New Roman"/>
          <w:b/>
          <w:bCs/>
          <w:color w:val="auto"/>
          <w:sz w:val="24"/>
          <w:szCs w:val="24"/>
        </w:rPr>
        <w:lastRenderedPageBreak/>
        <w:t>5.3 Health Benefits and Infections Averted</w:t>
      </w:r>
    </w:p>
    <w:p w14:paraId="1777CEC2"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Status-neutral care implementation demonstrates substantial health benefits through both prevention of new infections and improved care cascade performance.</w:t>
      </w:r>
    </w:p>
    <w:p w14:paraId="6A43B74D"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HIV Infections Averted:</w:t>
      </w:r>
      <w:r w:rsidRPr="00A35B93">
        <w:rPr>
          <w:rFonts w:ascii="Times New Roman" w:hAnsi="Times New Roman" w:cs="Times New Roman"/>
        </w:rPr>
        <w:t xml:space="preserve"> Over the 40-year time horizon, status-neutral care prevents approximately 3,200 HIV infections (38% reduction compared to baseline). Prevention impact derives from multiple mechanisms including pre-exposure prophylaxis among high-risk HIV-negative individuals, treatment-as-prevention through improved viral suppression, and enhanced testing and immediate treatment initiation.</w:t>
      </w:r>
    </w:p>
    <w:p w14:paraId="42DBE21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Care Cascade Improvements:</w:t>
      </w:r>
      <w:r w:rsidRPr="00A35B93">
        <w:rPr>
          <w:rFonts w:ascii="Times New Roman" w:hAnsi="Times New Roman" w:cs="Times New Roman"/>
        </w:rPr>
        <w:t xml:space="preserve"> The integrated model improves performance across all cascade stages. Diagnosis coverage increases from 85% to 94%, linkage to care improves from 92% to 97%, treatment coverage increases from 88% to 95%, and viral suppression rises from 82% to 91%.</w:t>
      </w:r>
    </w:p>
    <w:p w14:paraId="19515790" w14:textId="6532A630" w:rsidR="0049225D" w:rsidRPr="00A35B93" w:rsidRDefault="0049225D" w:rsidP="00A35B93">
      <w:pPr>
        <w:pStyle w:val="a0"/>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31E7E4A" wp14:editId="7910CFD6">
            <wp:extent cx="5486400" cy="3114040"/>
            <wp:effectExtent l="0" t="0" r="0" b="0"/>
            <wp:docPr id="2075234181" name="图片 3"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34181" name="图片 3" descr="图表, 条形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114040"/>
                    </a:xfrm>
                    <a:prstGeom prst="rect">
                      <a:avLst/>
                    </a:prstGeom>
                  </pic:spPr>
                </pic:pic>
              </a:graphicData>
            </a:graphic>
          </wp:inline>
        </w:drawing>
      </w:r>
    </w:p>
    <w:p w14:paraId="69404160"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Disability-Adjusted Life Years:</w:t>
      </w:r>
      <w:r w:rsidRPr="00A35B93">
        <w:rPr>
          <w:rFonts w:ascii="Times New Roman" w:hAnsi="Times New Roman" w:cs="Times New Roman"/>
        </w:rPr>
        <w:t xml:space="preserve"> The intervention averts 42,000 DALYs over 40 years through prevented infections and improved health outcomes among people living with HIV. Quality-adjusted life years gained total 48,000 QALYs.</w:t>
      </w:r>
    </w:p>
    <w:p w14:paraId="6118DE95"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4" w:name="economic-benefits-and-cost-savings"/>
      <w:bookmarkEnd w:id="33"/>
      <w:r w:rsidRPr="00A35B93">
        <w:rPr>
          <w:rFonts w:ascii="Times New Roman" w:hAnsi="Times New Roman" w:cs="Times New Roman"/>
          <w:b/>
          <w:bCs/>
          <w:color w:val="auto"/>
          <w:sz w:val="24"/>
          <w:szCs w:val="24"/>
        </w:rPr>
        <w:lastRenderedPageBreak/>
        <w:t>5.4 Economic Benefits and Cost Savings</w:t>
      </w:r>
    </w:p>
    <w:p w14:paraId="121FEAC0"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Status-neutral care generates substantial economic benefits through averted treatment costs, reduced healthcare utilization, and improved health system efficiency.</w:t>
      </w:r>
    </w:p>
    <w:p w14:paraId="6D7D7B73"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Direct Cost Savings:</w:t>
      </w:r>
      <w:r w:rsidRPr="00A35B93">
        <w:rPr>
          <w:rFonts w:ascii="Times New Roman" w:hAnsi="Times New Roman" w:cs="Times New Roman"/>
        </w:rPr>
        <w:t xml:space="preserve"> - Lifetime treatment costs averted for prevented infections: HKD 2.4 billion - Reduced opportunistic infection costs: HKD 0.5 billion - Decreased hospitalization costs: HKD 0.3 billion - Lower treatment failure and resistance management costs: HKD 0.2 billion - </w:t>
      </w:r>
      <w:r w:rsidRPr="00A35B93">
        <w:rPr>
          <w:rFonts w:ascii="Times New Roman" w:hAnsi="Times New Roman" w:cs="Times New Roman"/>
          <w:b/>
          <w:bCs/>
        </w:rPr>
        <w:t>Total Direct Cost Savings: HKD 3.4 billion (USD 440 million)</w:t>
      </w:r>
    </w:p>
    <w:p w14:paraId="01F5D15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Health System Efficiency Gains:</w:t>
      </w:r>
      <w:r w:rsidRPr="00A35B93">
        <w:rPr>
          <w:rFonts w:ascii="Times New Roman" w:hAnsi="Times New Roman" w:cs="Times New Roman"/>
        </w:rPr>
        <w:t xml:space="preserve"> - Reduced service fragmentation and administrative duplication: HKD 0.3 billion - Improved care coordination reducing inefficiencies: HKD 0.2 billion - Task-sharing optimizing workforce utilization: HKD 0.15 billion - </w:t>
      </w:r>
      <w:r w:rsidRPr="00A35B93">
        <w:rPr>
          <w:rFonts w:ascii="Times New Roman" w:hAnsi="Times New Roman" w:cs="Times New Roman"/>
          <w:b/>
          <w:bCs/>
        </w:rPr>
        <w:t>Total Efficiency Gains: HKD 0.65 billion (USD 84 million)</w:t>
      </w:r>
    </w:p>
    <w:p w14:paraId="4E6D5D29"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Total Economic Benefits:</w:t>
      </w:r>
      <w:r w:rsidRPr="00A35B93">
        <w:rPr>
          <w:rFonts w:ascii="Times New Roman" w:hAnsi="Times New Roman" w:cs="Times New Roman"/>
        </w:rPr>
        <w:t xml:space="preserve"> Cumulative discounted benefits over 40 years total HKD 4.05 billion (USD 520 million).</w:t>
      </w:r>
    </w:p>
    <w:p w14:paraId="549BC437"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5" w:name="cost-benefit-analysis-summary"/>
      <w:bookmarkEnd w:id="34"/>
      <w:r w:rsidRPr="00A35B93">
        <w:rPr>
          <w:rFonts w:ascii="Times New Roman" w:hAnsi="Times New Roman" w:cs="Times New Roman"/>
          <w:b/>
          <w:bCs/>
          <w:color w:val="auto"/>
          <w:sz w:val="24"/>
          <w:szCs w:val="24"/>
        </w:rPr>
        <w:t>5.5 Cost-Benefit Analysis Summary</w:t>
      </w:r>
    </w:p>
    <w:p w14:paraId="76C3460C"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b/>
          <w:bCs/>
        </w:rPr>
        <w:t>Net Present Value:</w:t>
      </w:r>
      <w:r w:rsidRPr="00A35B93">
        <w:rPr>
          <w:rFonts w:ascii="Times New Roman" w:hAnsi="Times New Roman" w:cs="Times New Roman"/>
        </w:rPr>
        <w:t xml:space="preserve"> The net present value of status-neutral care implementation is HKD 2.45 billion (USD 315 million) over 40 years, indicating that discounted benefits exceed discounted costs.</w:t>
      </w:r>
    </w:p>
    <w:p w14:paraId="3C6332E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Benefit-Cost Ratio:</w:t>
      </w:r>
      <w:r w:rsidRPr="00A35B93">
        <w:rPr>
          <w:rFonts w:ascii="Times New Roman" w:hAnsi="Times New Roman" w:cs="Times New Roman"/>
        </w:rPr>
        <w:t xml:space="preserve"> The benefit-cost ratio is 2.5:1, meaning that for every HKD spent on status-neutral care implementation, HKD 2.50 in economic value is generated.</w:t>
      </w:r>
    </w:p>
    <w:p w14:paraId="44A54540"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Return on Investment:</w:t>
      </w:r>
      <w:r w:rsidRPr="00A35B93">
        <w:rPr>
          <w:rFonts w:ascii="Times New Roman" w:hAnsi="Times New Roman" w:cs="Times New Roman"/>
        </w:rPr>
        <w:t xml:space="preserve"> The intervention achieves positive return on investment by year 12 of implementation, after which cumulative benefits exceed cumulative costs.</w:t>
      </w:r>
    </w:p>
    <w:p w14:paraId="135E86F6"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Incremental Cost-Effectiveness Ratio:</w:t>
      </w:r>
      <w:r w:rsidRPr="00A35B93">
        <w:rPr>
          <w:rFonts w:ascii="Times New Roman" w:hAnsi="Times New Roman" w:cs="Times New Roman"/>
        </w:rPr>
        <w:t xml:space="preserve"> The incremental cost per DALY averted is HKD 38,000 (USD 4,900), well below Hong Kong’s GDP per capita threshold suggesting highly cost-effective investment. The cost per QALY gained is HKD 33,000 (USD 4,250).</w:t>
      </w:r>
    </w:p>
    <w:p w14:paraId="2C6C559F"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lastRenderedPageBreak/>
        <w:t>Cost per HIV Infection Averted:</w:t>
      </w:r>
      <w:r w:rsidRPr="00A35B93">
        <w:rPr>
          <w:rFonts w:ascii="Times New Roman" w:hAnsi="Times New Roman" w:cs="Times New Roman"/>
        </w:rPr>
        <w:t xml:space="preserve"> The cost per HIV infection averted is HKD 500,000 (USD 64,000), representing substantial value given lifetime treatment costs exceeding HKD 750,000 per person living with HIV.</w:t>
      </w:r>
    </w:p>
    <w:p w14:paraId="21F467E8" w14:textId="637D5131" w:rsidR="0049225D" w:rsidRPr="00A35B93" w:rsidRDefault="0049225D" w:rsidP="00A35B93">
      <w:pPr>
        <w:pStyle w:val="a0"/>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59A0BF4F" wp14:editId="009541FA">
            <wp:extent cx="5486400" cy="2442210"/>
            <wp:effectExtent l="0" t="0" r="0" b="0"/>
            <wp:docPr id="992521763" name="图片 4" descr="图片包含 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21763" name="图片 4" descr="图片包含 图表&#10;&#10;AI 生成的内容可能不正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2442210"/>
                    </a:xfrm>
                    <a:prstGeom prst="rect">
                      <a:avLst/>
                    </a:prstGeom>
                  </pic:spPr>
                </pic:pic>
              </a:graphicData>
            </a:graphic>
          </wp:inline>
        </w:drawing>
      </w:r>
    </w:p>
    <w:p w14:paraId="2FFD1B3B"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6" w:name="sensitivity-analysis-results"/>
      <w:bookmarkEnd w:id="35"/>
      <w:r w:rsidRPr="00A35B93">
        <w:rPr>
          <w:rFonts w:ascii="Times New Roman" w:hAnsi="Times New Roman" w:cs="Times New Roman"/>
          <w:b/>
          <w:bCs/>
          <w:color w:val="auto"/>
          <w:sz w:val="24"/>
          <w:szCs w:val="24"/>
        </w:rPr>
        <w:t>5.6 Sensitivity Analysis Results</w:t>
      </w:r>
    </w:p>
    <w:p w14:paraId="1C0A7376"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b/>
          <w:bCs/>
        </w:rPr>
        <w:t>One-Way Sensitivity Analyses:</w:t>
      </w:r>
      <w:r w:rsidRPr="00A35B93">
        <w:rPr>
          <w:rFonts w:ascii="Times New Roman" w:hAnsi="Times New Roman" w:cs="Times New Roman"/>
        </w:rPr>
        <w:t xml:space="preserve"> The tornado diagram of one-way sensitivity analyses reveals that model outcomes are most sensitive to key parameters including PrEP effectiveness and adherence, HIV incidence rates in target populations, antiretroviral therapy costs, discount rate, and PrEP medication costs. Across all plausible parameter ranges examined, the intervention remains cost-effective relative to Hong Kong’s GDP per capita threshold.</w:t>
      </w:r>
    </w:p>
    <w:p w14:paraId="57FC4537"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Probabilistic Sensitivity Analysis:</w:t>
      </w:r>
      <w:r w:rsidRPr="00A35B93">
        <w:rPr>
          <w:rFonts w:ascii="Times New Roman" w:hAnsi="Times New Roman" w:cs="Times New Roman"/>
        </w:rPr>
        <w:t xml:space="preserve"> Monte Carlo simulation with 10,000 iterations demonstrates that status-neutral care has a 94% probability of being cost-effective at a willingness-to-pay threshold of HKD 500,000 per DALY averted. At a more conservative threshold of HKD 300,000 per DALY, the probability remains 87%. The cost-effectiveness acceptability curve shows that the intervention has greater than 50% probability of cost-effectiveness at thresholds above HKD 180,000 per DALY.</w:t>
      </w:r>
    </w:p>
    <w:p w14:paraId="03F83689"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Scenario Analyses:</w:t>
      </w:r>
      <w:r w:rsidRPr="00A35B93">
        <w:rPr>
          <w:rFonts w:ascii="Times New Roman" w:hAnsi="Times New Roman" w:cs="Times New Roman"/>
        </w:rPr>
        <w:t xml:space="preserve"> Alternative implementation scenarios were explored. Gradual district-by-district rollout reduces initial costs but delays benefits, resulting in slightly higher ICERs but maintaining cost-effectiveness. Achieving higher PrEP coverage among eligible </w:t>
      </w:r>
      <w:r w:rsidRPr="00A35B93">
        <w:rPr>
          <w:rFonts w:ascii="Times New Roman" w:hAnsi="Times New Roman" w:cs="Times New Roman"/>
        </w:rPr>
        <w:lastRenderedPageBreak/>
        <w:t>populations improves cost-effectiveness and averts additional infections. Even assuming lower PrEP effectiveness yields acceptable cost-effectiveness.</w:t>
      </w:r>
    </w:p>
    <w:p w14:paraId="6450DA4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These sensitivity analyses demonstrate robustness of findings across a wide range of assumptions, supporting the economic case for status-neutral care implementation in Hong Kong.</w:t>
      </w:r>
    </w:p>
    <w:p w14:paraId="0CD355C0" w14:textId="78D4A99D" w:rsidR="00501BF8" w:rsidRPr="00A35B93" w:rsidRDefault="00501BF8" w:rsidP="00A35B93">
      <w:pPr>
        <w:spacing w:line="360" w:lineRule="auto"/>
        <w:jc w:val="both"/>
        <w:rPr>
          <w:rFonts w:ascii="Times New Roman" w:hAnsi="Times New Roman" w:cs="Times New Roman"/>
        </w:rPr>
      </w:pPr>
    </w:p>
    <w:p w14:paraId="228D6CCF"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37" w:name="implementation-considerations"/>
      <w:bookmarkEnd w:id="30"/>
      <w:bookmarkEnd w:id="36"/>
      <w:r w:rsidRPr="00A35B93">
        <w:rPr>
          <w:rFonts w:ascii="Times New Roman" w:hAnsi="Times New Roman" w:cs="Times New Roman"/>
          <w:b/>
          <w:bCs/>
          <w:color w:val="auto"/>
          <w:sz w:val="24"/>
          <w:szCs w:val="24"/>
        </w:rPr>
        <w:t>6. IMPLEMENTATION CONSIDERATIONS</w:t>
      </w:r>
    </w:p>
    <w:p w14:paraId="269414AC"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8" w:name="health-system-strengthening-requirements"/>
      <w:r w:rsidRPr="00A35B93">
        <w:rPr>
          <w:rFonts w:ascii="Times New Roman" w:hAnsi="Times New Roman" w:cs="Times New Roman"/>
          <w:b/>
          <w:bCs/>
          <w:color w:val="auto"/>
          <w:sz w:val="24"/>
          <w:szCs w:val="24"/>
        </w:rPr>
        <w:t>6.1 Health System Strengthening Requirements</w:t>
      </w:r>
    </w:p>
    <w:p w14:paraId="19E9CB4D"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Successful implementation of status-neutral care requires comprehensive health system strengthening across multiple domains. Healthcare facilities in targeted districts must be adapted to support integrated service delivery, including physical space for counseling and testing, pharmaceutical storage for PrEP medications, and laboratory capacity for routine monitoring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w:t>
      </w:r>
    </w:p>
    <w:p w14:paraId="39290105"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Information systems require substantial upgrades to support patient tracking across the care continuum and integration of HIV and primary care medical records. Digital health platforms can facilitate service integration while maintaining patient confidentiality and data security.</w:t>
      </w:r>
    </w:p>
    <w:p w14:paraId="7518F18F"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Supply chain management systems must ensure reliable availability of antiretroviral medications for both treatment and prevention, laboratory testing supplies, and point-of-care diagnostics. Stock-outs of essential commodities can severely compromise program effectiveness and patient trust.</w:t>
      </w:r>
    </w:p>
    <w:p w14:paraId="58F7E57F"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39" w:name="workforce-development-and-task-sharing"/>
      <w:bookmarkEnd w:id="38"/>
      <w:r w:rsidRPr="00A35B93">
        <w:rPr>
          <w:rFonts w:ascii="Times New Roman" w:hAnsi="Times New Roman" w:cs="Times New Roman"/>
          <w:b/>
          <w:bCs/>
          <w:color w:val="auto"/>
          <w:sz w:val="24"/>
          <w:szCs w:val="24"/>
        </w:rPr>
        <w:t>6.2 Workforce Development and Task-Sharing</w:t>
      </w:r>
    </w:p>
    <w:p w14:paraId="392C1E5E"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 xml:space="preserve">Implementation requires significant investment in workforce training and capacity building. Primary care physicians and nurses must develop competencies in HIV prevention counseling, PrEP prescription and monitoring, antiretroviral therapy initiation and management, and integrated care coordination. Task-sharing models, where nurses and </w:t>
      </w:r>
      <w:r w:rsidRPr="00A35B93">
        <w:rPr>
          <w:rFonts w:ascii="Times New Roman" w:hAnsi="Times New Roman" w:cs="Times New Roman"/>
        </w:rPr>
        <w:lastRenderedPageBreak/>
        <w:t>mid-level providers deliver many HIV services under physician supervision, can optimize workforce utilization and improve cost-effectiveness (</w:t>
      </w:r>
      <w:hyperlink w:anchor="ref-n2020">
        <w:r w:rsidR="00501BF8" w:rsidRPr="00A35B93">
          <w:rPr>
            <w:rStyle w:val="af"/>
            <w:rFonts w:ascii="Times New Roman" w:hAnsi="Times New Roman" w:cs="Times New Roman"/>
            <w:color w:val="auto"/>
          </w:rPr>
          <w:t>Phanuphak et al., 2020</w:t>
        </w:r>
      </w:hyperlink>
      <w:r w:rsidRPr="00A35B93">
        <w:rPr>
          <w:rFonts w:ascii="Times New Roman" w:hAnsi="Times New Roman" w:cs="Times New Roman"/>
        </w:rPr>
        <w:t>).</w:t>
      </w:r>
    </w:p>
    <w:p w14:paraId="6C95BED5"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Community health workers and peer navigators play critical roles in status-neutral care delivery. Training these cadres to provide health education, facilitate linkage to services, offer psychosocial support, and address social determinants of health extends the reach of health systems while enhancing cultural competence and community acceptability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w:t>
      </w:r>
    </w:p>
    <w:p w14:paraId="47C6E48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Ongoing mentorship and supportive supervision ensure quality of care and provider confidence. Regular case conferences and clinical mentoring support skill development and maintain care quality standards.</w:t>
      </w:r>
    </w:p>
    <w:p w14:paraId="343A8961"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0" w:name="service-integration-models"/>
      <w:bookmarkEnd w:id="39"/>
      <w:r w:rsidRPr="00A35B93">
        <w:rPr>
          <w:rFonts w:ascii="Times New Roman" w:hAnsi="Times New Roman" w:cs="Times New Roman"/>
          <w:b/>
          <w:bCs/>
          <w:color w:val="auto"/>
          <w:sz w:val="24"/>
          <w:szCs w:val="24"/>
        </w:rPr>
        <w:t>6.3 Service Integration Models</w:t>
      </w:r>
    </w:p>
    <w:p w14:paraId="44B522C2"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Single-facility integration co-locates HIV prevention, testing, treatment, and primary care within the same clinic, enhancing coordination and reducing patient barriers. This model demonstrated effectiveness in diverse settings but requires sufficient patient volume and comprehensive service capacity.</w:t>
      </w:r>
    </w:p>
    <w:p w14:paraId="7403421E"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Multi-facility integration establishes networks of specialized services with coordinated referral pathways and shared information systems. This approach may be appropriate for managing patients with complex comorbidities, though fragmentation risks must be carefully managed through strong care coordination mechanisms.</w:t>
      </w:r>
    </w:p>
    <w:p w14:paraId="3C0C6A57"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Hybrid models combine on-site delivery of routine services with network-based access to specialized care. This pragmatic approach balances comprehensiveness with feasibility, particularly in resource-constrained settings.</w:t>
      </w:r>
    </w:p>
    <w:p w14:paraId="435865BF"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1" w:name="financing-mechanisms-and-sustainability"/>
      <w:bookmarkEnd w:id="40"/>
      <w:r w:rsidRPr="00A35B93">
        <w:rPr>
          <w:rFonts w:ascii="Times New Roman" w:hAnsi="Times New Roman" w:cs="Times New Roman"/>
          <w:b/>
          <w:bCs/>
          <w:color w:val="auto"/>
          <w:sz w:val="24"/>
          <w:szCs w:val="24"/>
        </w:rPr>
        <w:t>6.4 Financing Mechanisms and Sustainability</w:t>
      </w:r>
    </w:p>
    <w:p w14:paraId="31441792"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Sustainable financing requires multiple complementary strategies. Domestic resource mobilization through government health budget allocation provides the foundation for program sustainability. Hong Kong’s relatively strong fiscal position enables government investment in health system strengthening, though competing priorities necessitate clear demonstration of value for money.</w:t>
      </w:r>
    </w:p>
    <w:p w14:paraId="1C4904F2"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lastRenderedPageBreak/>
        <w:t>Health insurance mechanisms, including expansion of coverage for HIV prevention and treatment services, can broaden the financing base and improve financial risk protection.</w:t>
      </w:r>
    </w:p>
    <w:p w14:paraId="384F87A3"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Efficiency gains from integration generate internal cost savings that can be reinvested in service expansion. Reducing duplication, optimizing workforce utilization through task-sharing, and improving care coordination all contribute to health system efficiency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w:t>
      </w:r>
    </w:p>
    <w:p w14:paraId="5E135C3E"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2" w:name="monitoring-and-evaluation-systems"/>
      <w:bookmarkEnd w:id="41"/>
      <w:r w:rsidRPr="00A35B93">
        <w:rPr>
          <w:rFonts w:ascii="Times New Roman" w:hAnsi="Times New Roman" w:cs="Times New Roman"/>
          <w:b/>
          <w:bCs/>
          <w:color w:val="auto"/>
          <w:sz w:val="24"/>
          <w:szCs w:val="24"/>
        </w:rPr>
        <w:t>6.5 Monitoring and Evaluation Systems</w:t>
      </w:r>
    </w:p>
    <w:p w14:paraId="27C6A32C"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Robust monitoring and evaluation systems are essential for tracking implementation progress and identifying challenges. Key performance indicators should span the full care continuum including HIV testing uptake, PrEP initiation and continuation, linkage to care following diagnosis, retention in care, viral suppression rates, and patient satisfaction.</w:t>
      </w:r>
    </w:p>
    <w:p w14:paraId="0A6E9100"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Regular cascade assessment enables data-driven decision-making and continuous program optimization. Cost tracking systems must capture both implementation and service delivery costs with sufficient granularity to support economic evaluation and efficiency analysis.</w:t>
      </w:r>
    </w:p>
    <w:p w14:paraId="4EBD6173" w14:textId="117BE772" w:rsidR="00501BF8" w:rsidRPr="00A35B93" w:rsidRDefault="00501BF8" w:rsidP="00A35B93">
      <w:pPr>
        <w:spacing w:line="360" w:lineRule="auto"/>
        <w:jc w:val="both"/>
        <w:rPr>
          <w:rFonts w:ascii="Times New Roman" w:hAnsi="Times New Roman" w:cs="Times New Roman"/>
        </w:rPr>
      </w:pPr>
    </w:p>
    <w:p w14:paraId="5250584F"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43" w:name="discussion-and-recommendations"/>
      <w:bookmarkEnd w:id="37"/>
      <w:bookmarkEnd w:id="42"/>
      <w:r w:rsidRPr="00A35B93">
        <w:rPr>
          <w:rFonts w:ascii="Times New Roman" w:hAnsi="Times New Roman" w:cs="Times New Roman"/>
          <w:b/>
          <w:bCs/>
          <w:color w:val="auto"/>
          <w:sz w:val="24"/>
          <w:szCs w:val="24"/>
        </w:rPr>
        <w:t>7. DISCUSSION AND RECOMMENDATIONS</w:t>
      </w:r>
    </w:p>
    <w:p w14:paraId="6F58BF3D"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4" w:name="key-findings-and-implications"/>
      <w:r w:rsidRPr="00A35B93">
        <w:rPr>
          <w:rFonts w:ascii="Times New Roman" w:hAnsi="Times New Roman" w:cs="Times New Roman"/>
          <w:b/>
          <w:bCs/>
          <w:color w:val="auto"/>
          <w:sz w:val="24"/>
          <w:szCs w:val="24"/>
        </w:rPr>
        <w:t>7.1 Key Findings and Implications</w:t>
      </w:r>
    </w:p>
    <w:p w14:paraId="3AAD809F"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This economic modeling study demonstrates that implementing status-neutral HIV care in targeted Hong Kong districts represents a highly cost-effective investment with substantial long-term fiscal benefits. The benefit-cost ratio of 2.5:1 and incremental cost-effectiveness ratio of HKD 38,000 per DALY averted both indicate strong economic value. These findings align with international evidence showing that integrated HIV service delivery improves health outcomes while generating economic benefits (</w:t>
      </w:r>
      <w:hyperlink w:anchor="ref-ivy2021">
        <w:r w:rsidR="00501BF8" w:rsidRPr="00A35B93">
          <w:rPr>
            <w:rStyle w:val="af"/>
            <w:rFonts w:ascii="Times New Roman" w:hAnsi="Times New Roman" w:cs="Times New Roman"/>
            <w:color w:val="auto"/>
          </w:rPr>
          <w:t>Mushamiri et al., 2021</w:t>
        </w:r>
      </w:hyperlink>
      <w:r w:rsidRPr="00A35B93">
        <w:rPr>
          <w:rFonts w:ascii="Times New Roman" w:hAnsi="Times New Roman" w:cs="Times New Roman"/>
        </w:rPr>
        <w:t>).</w:t>
      </w:r>
    </w:p>
    <w:p w14:paraId="2D2C182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The 12-year break-even point highlights the importance of long-term commitment and adequate financing to sustain programs through the initial investment phase. Short-term budget constraints should not preclude implementation of interventions demonstrating clear long-term value.</w:t>
      </w:r>
    </w:p>
    <w:p w14:paraId="0FA8239C"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lastRenderedPageBreak/>
        <w:t>Prevention impact drives substantial economic benefits, with 3,200 HIV infections averted over 40 years. Each prevented infection saves approximately HKD 750,000 in lifetime treatment costs. These findings underscore the critical importance of prevention within comprehensive HIV responses.</w:t>
      </w:r>
    </w:p>
    <w:p w14:paraId="406AC00F"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5" w:name="comparison-with-international-experience"/>
      <w:bookmarkEnd w:id="44"/>
      <w:r w:rsidRPr="00A35B93">
        <w:rPr>
          <w:rFonts w:ascii="Times New Roman" w:hAnsi="Times New Roman" w:cs="Times New Roman"/>
          <w:b/>
          <w:bCs/>
          <w:color w:val="auto"/>
          <w:sz w:val="24"/>
          <w:szCs w:val="24"/>
        </w:rPr>
        <w:t>7.2 Comparison with International Experience</w:t>
      </w:r>
    </w:p>
    <w:p w14:paraId="5A56D59E"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Hong Kong’s results are comparable to international economic evaluations of integrated HIV services. Cost-</w:t>
      </w:r>
      <w:proofErr w:type="gramStart"/>
      <w:r w:rsidRPr="00A35B93">
        <w:rPr>
          <w:rFonts w:ascii="Times New Roman" w:hAnsi="Times New Roman" w:cs="Times New Roman"/>
        </w:rPr>
        <w:t>effectiveness</w:t>
      </w:r>
      <w:proofErr w:type="gramEnd"/>
      <w:r w:rsidRPr="00A35B93">
        <w:rPr>
          <w:rFonts w:ascii="Times New Roman" w:hAnsi="Times New Roman" w:cs="Times New Roman"/>
        </w:rPr>
        <w:t xml:space="preserve"> findings are </w:t>
      </w:r>
      <w:proofErr w:type="gramStart"/>
      <w:r w:rsidRPr="00A35B93">
        <w:rPr>
          <w:rFonts w:ascii="Times New Roman" w:hAnsi="Times New Roman" w:cs="Times New Roman"/>
        </w:rPr>
        <w:t>similar to</w:t>
      </w:r>
      <w:proofErr w:type="gramEnd"/>
      <w:r w:rsidRPr="00A35B93">
        <w:rPr>
          <w:rFonts w:ascii="Times New Roman" w:hAnsi="Times New Roman" w:cs="Times New Roman"/>
        </w:rPr>
        <w:t xml:space="preserve"> studies from comparable regional contexts, suggesting consistent value across diverse settings.</w:t>
      </w:r>
    </w:p>
    <w:p w14:paraId="504DE3E4"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International vaccination studies provide valuable benchmarking. COVID-19 vaccination programs demonstrated benefit-cost ratios from social perspectives comparable to or exceeding status-neutral care estimates (</w:t>
      </w:r>
      <w:hyperlink w:anchor="ref-f2021">
        <w:r w:rsidR="00501BF8" w:rsidRPr="00A35B93">
          <w:rPr>
            <w:rStyle w:val="af"/>
            <w:rFonts w:ascii="Times New Roman" w:hAnsi="Times New Roman" w:cs="Times New Roman"/>
            <w:color w:val="auto"/>
          </w:rPr>
          <w:t>Lpez et al., 2021</w:t>
        </w:r>
      </w:hyperlink>
      <w:r w:rsidRPr="00A35B93">
        <w:rPr>
          <w:rFonts w:ascii="Times New Roman" w:hAnsi="Times New Roman" w:cs="Times New Roman"/>
        </w:rPr>
        <w:t>), indicating that HIV prevention and treatment integration offers comparable economic value to other major public health interventions.</w:t>
      </w:r>
    </w:p>
    <w:p w14:paraId="572C8555"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6" w:name="policy-recommendations"/>
      <w:bookmarkEnd w:id="45"/>
      <w:r w:rsidRPr="00A35B93">
        <w:rPr>
          <w:rFonts w:ascii="Times New Roman" w:hAnsi="Times New Roman" w:cs="Times New Roman"/>
          <w:b/>
          <w:bCs/>
          <w:color w:val="auto"/>
          <w:sz w:val="24"/>
          <w:szCs w:val="24"/>
        </w:rPr>
        <w:t>7.3 Policy Recommendations</w:t>
      </w:r>
    </w:p>
    <w:p w14:paraId="6203F01C"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b/>
          <w:bCs/>
        </w:rPr>
        <w:t>Recommendation 1: Initiate Pilot Implementation in Selected Districts</w:t>
      </w:r>
      <w:r w:rsidRPr="00A35B93">
        <w:rPr>
          <w:rFonts w:ascii="Times New Roman" w:hAnsi="Times New Roman" w:cs="Times New Roman"/>
        </w:rPr>
        <w:t xml:space="preserve"> </w:t>
      </w:r>
      <w:proofErr w:type="gramStart"/>
      <w:r w:rsidRPr="00A35B93">
        <w:rPr>
          <w:rFonts w:ascii="Times New Roman" w:hAnsi="Times New Roman" w:cs="Times New Roman"/>
        </w:rPr>
        <w:t>The</w:t>
      </w:r>
      <w:proofErr w:type="gramEnd"/>
      <w:r w:rsidRPr="00A35B93">
        <w:rPr>
          <w:rFonts w:ascii="Times New Roman" w:hAnsi="Times New Roman" w:cs="Times New Roman"/>
        </w:rPr>
        <w:t xml:space="preserve"> Hong Kong government should designate 2-3 districts with high HIV prevalence for pilot status-neutral care implementation. Pilot sites should receive adequate resources for health system strengthening and comprehensive monitoring and evaluation.</w:t>
      </w:r>
    </w:p>
    <w:p w14:paraId="4C1F4108"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Recommendation 2: Establish Integrated Service Delivery Platforms</w:t>
      </w:r>
      <w:r w:rsidRPr="00A35B93">
        <w:rPr>
          <w:rFonts w:ascii="Times New Roman" w:hAnsi="Times New Roman" w:cs="Times New Roman"/>
        </w:rPr>
        <w:t xml:space="preserve"> Healthcare facilities in pilot districts should establish integrated platforms co-locating HIV prevention (including PrEP), testing, treatment, and primary care services. Single-facility integration maximizes coordination benefits while reducing patient barriers to service access.</w:t>
      </w:r>
    </w:p>
    <w:p w14:paraId="660EA818"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Recommendation 3: Invest in Workforce Development</w:t>
      </w:r>
      <w:r w:rsidRPr="00A35B93">
        <w:rPr>
          <w:rFonts w:ascii="Times New Roman" w:hAnsi="Times New Roman" w:cs="Times New Roman"/>
        </w:rPr>
        <w:t xml:space="preserve"> Comprehensive training programs should build capacity among primary care providers to deliver HIV prevention counseling, prescribe and monitor PrEP, initiate antiretroviral therapy, and coordinate integrated care. Task-sharing to nurses and mid-level providers should be actively promoted.</w:t>
      </w:r>
    </w:p>
    <w:p w14:paraId="5B5398E7"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lastRenderedPageBreak/>
        <w:t>Recommendation 4: Mobilize Sustainable Financing</w:t>
      </w:r>
      <w:r w:rsidRPr="00A35B93">
        <w:rPr>
          <w:rFonts w:ascii="Times New Roman" w:hAnsi="Times New Roman" w:cs="Times New Roman"/>
        </w:rPr>
        <w:t xml:space="preserve"> Government health budgets should allocate dedicated funding for status-neutral care implementation, recognizing the intervention’s strong long-term return on investment. Health insurance coverage should be expanded to include PrEP and integrated HIV services.</w:t>
      </w:r>
    </w:p>
    <w:p w14:paraId="311DBD3F"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Recommendation 5: Strengthen Monitoring and Evaluation</w:t>
      </w:r>
      <w:r w:rsidRPr="00A35B93">
        <w:rPr>
          <w:rFonts w:ascii="Times New Roman" w:hAnsi="Times New Roman" w:cs="Times New Roman"/>
        </w:rPr>
        <w:t xml:space="preserve"> Robust data systems should track implementation progress and cascade performance indicators. Regular program evaluation should inform adaptive management and continuous quality improvement.</w:t>
      </w:r>
    </w:p>
    <w:p w14:paraId="5CF1DFDE"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Recommendation 6: Engage Communities and Key Populations</w:t>
      </w:r>
      <w:r w:rsidRPr="00A35B93">
        <w:rPr>
          <w:rFonts w:ascii="Times New Roman" w:hAnsi="Times New Roman" w:cs="Times New Roman"/>
        </w:rPr>
        <w:t xml:space="preserve"> Community health workers and peer navigators should be integrated into service delivery teams. Meaningful engagement of people living with HIV and key populations in program design and implementation enhances acceptability and sustainability.</w:t>
      </w:r>
    </w:p>
    <w:p w14:paraId="46263A83"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b/>
          <w:bCs/>
        </w:rPr>
        <w:t>Recommendation 7: Plan for Scale-Up Based on Pilot Results</w:t>
      </w:r>
      <w:r w:rsidRPr="00A35B93">
        <w:rPr>
          <w:rFonts w:ascii="Times New Roman" w:hAnsi="Times New Roman" w:cs="Times New Roman"/>
        </w:rPr>
        <w:t xml:space="preserve"> Following successful pilot implementation, a phased scale-up strategy should expand status-neutral care to additional districts.</w:t>
      </w:r>
    </w:p>
    <w:p w14:paraId="439F9EE3" w14:textId="77777777" w:rsidR="00501BF8" w:rsidRPr="00A35B93" w:rsidRDefault="00000000" w:rsidP="00A35B93">
      <w:pPr>
        <w:pStyle w:val="3"/>
        <w:spacing w:line="360" w:lineRule="auto"/>
        <w:jc w:val="both"/>
        <w:rPr>
          <w:rFonts w:ascii="Times New Roman" w:hAnsi="Times New Roman" w:cs="Times New Roman"/>
          <w:color w:val="auto"/>
          <w:sz w:val="24"/>
          <w:szCs w:val="24"/>
        </w:rPr>
      </w:pPr>
      <w:bookmarkStart w:id="47" w:name="limitations-and-future-research-needs"/>
      <w:bookmarkEnd w:id="46"/>
      <w:r w:rsidRPr="00A35B93">
        <w:rPr>
          <w:rFonts w:ascii="Times New Roman" w:hAnsi="Times New Roman" w:cs="Times New Roman"/>
          <w:b/>
          <w:bCs/>
          <w:color w:val="auto"/>
          <w:sz w:val="24"/>
          <w:szCs w:val="24"/>
        </w:rPr>
        <w:t>7.4 Limitations and Future Research Needs</w:t>
      </w:r>
    </w:p>
    <w:p w14:paraId="5D9F4880"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This analysis has several limitations that warrant consideration. First, the model relies on international data for several parameters due to limited Hong Kong-specific evidence. Local data collection on HIV incidence and care cascade performance would strengthen future analyses. Second, the model does not fully capture heterogeneity within key populations. More granular modeling could inform targeted implementation strategies. Third, indirect costs and societal benefits beyond the health system are not fully quantified, likely underestimating total economic value.</w:t>
      </w:r>
    </w:p>
    <w:p w14:paraId="42AD2EC4"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 xml:space="preserve">Future research should evaluate pilot implementation outcomes to validate model assumptions. </w:t>
      </w:r>
      <w:proofErr w:type="gramStart"/>
      <w:r w:rsidRPr="00A35B93">
        <w:rPr>
          <w:rFonts w:ascii="Times New Roman" w:hAnsi="Times New Roman" w:cs="Times New Roman"/>
        </w:rPr>
        <w:t>Implementation</w:t>
      </w:r>
      <w:proofErr w:type="gramEnd"/>
      <w:r w:rsidRPr="00A35B93">
        <w:rPr>
          <w:rFonts w:ascii="Times New Roman" w:hAnsi="Times New Roman" w:cs="Times New Roman"/>
        </w:rPr>
        <w:t xml:space="preserve"> science studies examining barriers and facilitators to service integration would inform scale-up strategies. Economic evaluation of alternative integration models would guide optimal resource allocation.</w:t>
      </w:r>
    </w:p>
    <w:p w14:paraId="08E7EDFF" w14:textId="596ABA2F" w:rsidR="00501BF8" w:rsidRPr="00A35B93" w:rsidRDefault="00501BF8" w:rsidP="00A35B93">
      <w:pPr>
        <w:spacing w:line="360" w:lineRule="auto"/>
        <w:jc w:val="both"/>
        <w:rPr>
          <w:rFonts w:ascii="Times New Roman" w:hAnsi="Times New Roman" w:cs="Times New Roman"/>
        </w:rPr>
      </w:pPr>
    </w:p>
    <w:p w14:paraId="44A20C7B" w14:textId="77777777" w:rsidR="00501BF8" w:rsidRPr="00A35B93" w:rsidRDefault="00000000" w:rsidP="00A35B93">
      <w:pPr>
        <w:pStyle w:val="2"/>
        <w:spacing w:line="360" w:lineRule="auto"/>
        <w:jc w:val="both"/>
        <w:rPr>
          <w:rFonts w:ascii="Times New Roman" w:hAnsi="Times New Roman" w:cs="Times New Roman"/>
          <w:color w:val="auto"/>
          <w:sz w:val="24"/>
          <w:szCs w:val="24"/>
        </w:rPr>
      </w:pPr>
      <w:bookmarkStart w:id="48" w:name="conclusion"/>
      <w:bookmarkEnd w:id="43"/>
      <w:bookmarkEnd w:id="47"/>
      <w:r w:rsidRPr="00A35B93">
        <w:rPr>
          <w:rFonts w:ascii="Times New Roman" w:hAnsi="Times New Roman" w:cs="Times New Roman"/>
          <w:b/>
          <w:bCs/>
          <w:color w:val="auto"/>
          <w:sz w:val="24"/>
          <w:szCs w:val="24"/>
        </w:rPr>
        <w:lastRenderedPageBreak/>
        <w:t>8. CONCLUSION</w:t>
      </w:r>
    </w:p>
    <w:p w14:paraId="17C5910B" w14:textId="77777777" w:rsidR="00501BF8" w:rsidRPr="00A35B93" w:rsidRDefault="00000000" w:rsidP="00A35B93">
      <w:pPr>
        <w:pStyle w:val="FirstParagraph"/>
        <w:spacing w:line="360" w:lineRule="auto"/>
        <w:jc w:val="both"/>
        <w:rPr>
          <w:rFonts w:ascii="Times New Roman" w:hAnsi="Times New Roman" w:cs="Times New Roman"/>
        </w:rPr>
      </w:pPr>
      <w:r w:rsidRPr="00A35B93">
        <w:rPr>
          <w:rFonts w:ascii="Times New Roman" w:hAnsi="Times New Roman" w:cs="Times New Roman"/>
        </w:rPr>
        <w:t xml:space="preserve">This comprehensive economic modeling study provides compelling evidence that implementing status-neutral HIV care in targeted Hong Kong districts represents a highly cost-effective investment with substantial long-term fiscal benefits. The integration of HIV prevention, testing, treatment, and primary care into </w:t>
      </w:r>
      <w:proofErr w:type="gramStart"/>
      <w:r w:rsidRPr="00A35B93">
        <w:rPr>
          <w:rFonts w:ascii="Times New Roman" w:hAnsi="Times New Roman" w:cs="Times New Roman"/>
        </w:rPr>
        <w:t>unified service</w:t>
      </w:r>
      <w:proofErr w:type="gramEnd"/>
      <w:r w:rsidRPr="00A35B93">
        <w:rPr>
          <w:rFonts w:ascii="Times New Roman" w:hAnsi="Times New Roman" w:cs="Times New Roman"/>
        </w:rPr>
        <w:t xml:space="preserve"> delivery platforms generates a benefit-cost ratio of 2.5:1 and costs only HKD 38,000 per DALY averted—well below cost-effectiveness thresholds.</w:t>
      </w:r>
    </w:p>
    <w:p w14:paraId="115A1BFB"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 xml:space="preserve">By preventing 3,200 HIV infections and improving care cascade performance across all stages, status-neutral care delivers both health and economic value. The intervention achieves positive return on investment within 12 years and generates </w:t>
      </w:r>
      <w:proofErr w:type="gramStart"/>
      <w:r w:rsidRPr="00A35B93">
        <w:rPr>
          <w:rFonts w:ascii="Times New Roman" w:hAnsi="Times New Roman" w:cs="Times New Roman"/>
        </w:rPr>
        <w:t>net present</w:t>
      </w:r>
      <w:proofErr w:type="gramEnd"/>
      <w:r w:rsidRPr="00A35B93">
        <w:rPr>
          <w:rFonts w:ascii="Times New Roman" w:hAnsi="Times New Roman" w:cs="Times New Roman"/>
        </w:rPr>
        <w:t xml:space="preserve"> value of HKD 2.45 billion over 40 years. These findings remain robust across extensive sensitivity analyses, supporting confidence in the economic case for implementation.</w:t>
      </w:r>
    </w:p>
    <w:p w14:paraId="48F01C83" w14:textId="77777777" w:rsidR="00501BF8" w:rsidRPr="00A35B93" w:rsidRDefault="00000000" w:rsidP="00A35B93">
      <w:pPr>
        <w:pStyle w:val="a0"/>
        <w:spacing w:line="360" w:lineRule="auto"/>
        <w:jc w:val="both"/>
        <w:rPr>
          <w:rFonts w:ascii="Times New Roman" w:hAnsi="Times New Roman" w:cs="Times New Roman"/>
        </w:rPr>
      </w:pPr>
      <w:r w:rsidRPr="00A35B93">
        <w:rPr>
          <w:rFonts w:ascii="Times New Roman" w:hAnsi="Times New Roman" w:cs="Times New Roman"/>
        </w:rPr>
        <w:t>Successful implementation requires health system strengthening, workforce development, sustainable financing, and robust monitoring and evaluation. While upfront investment is substantial, the long-term fiscal benefits clearly justify initial resource commitments. International experience demonstrates that integrated HIV service delivery is feasible, acceptable, and effective across diverse settings.</w:t>
      </w:r>
    </w:p>
    <w:p w14:paraId="4A05CBE6" w14:textId="5B6C1B2F" w:rsidR="0049225D" w:rsidRDefault="00000000" w:rsidP="0049225D">
      <w:pPr>
        <w:pStyle w:val="a0"/>
        <w:spacing w:line="360" w:lineRule="auto"/>
        <w:jc w:val="both"/>
        <w:rPr>
          <w:rFonts w:ascii="Times New Roman" w:hAnsi="Times New Roman" w:cs="Times New Roman"/>
        </w:rPr>
      </w:pPr>
      <w:r w:rsidRPr="00A35B93">
        <w:rPr>
          <w:rFonts w:ascii="Times New Roman" w:hAnsi="Times New Roman" w:cs="Times New Roman"/>
        </w:rPr>
        <w:t>Hong Kong has an opportunity to lead the Asia-Pacific region in status-neutral care implementation, demonstrating how removing artificial divides between prevention and treatment services can enhance both health outcomes and fiscal sustainability. The evidence presented in this report should inform policy decisions and catalyze action toward universal health coverage for HIV prevention and care. With political commitment, adequate resources, and effective implementation, status-neutral care can transform Hong Kong’s HIV response while generating substantial returns on investment for the health system and society.</w:t>
      </w:r>
      <w:bookmarkStart w:id="49" w:name="references"/>
      <w:bookmarkEnd w:id="48"/>
    </w:p>
    <w:p w14:paraId="21BE8D6F" w14:textId="77777777" w:rsidR="0049225D" w:rsidRDefault="0049225D" w:rsidP="0049225D">
      <w:pPr>
        <w:pStyle w:val="a0"/>
        <w:spacing w:line="360" w:lineRule="auto"/>
        <w:jc w:val="both"/>
        <w:rPr>
          <w:rFonts w:ascii="Times New Roman" w:hAnsi="Times New Roman" w:cs="Times New Roman"/>
          <w:lang w:val="en-CA"/>
        </w:rPr>
      </w:pPr>
    </w:p>
    <w:p w14:paraId="2FBF794B" w14:textId="77777777" w:rsidR="0049225D" w:rsidRDefault="0049225D" w:rsidP="0049225D">
      <w:pPr>
        <w:pStyle w:val="a0"/>
        <w:spacing w:line="360" w:lineRule="auto"/>
        <w:jc w:val="both"/>
        <w:rPr>
          <w:rFonts w:ascii="Times New Roman" w:hAnsi="Times New Roman" w:cs="Times New Roman"/>
          <w:lang w:val="en-CA"/>
        </w:rPr>
      </w:pPr>
    </w:p>
    <w:p w14:paraId="60721BF8" w14:textId="77777777" w:rsidR="0049225D" w:rsidRDefault="0049225D" w:rsidP="0049225D">
      <w:pPr>
        <w:pStyle w:val="a0"/>
        <w:spacing w:line="360" w:lineRule="auto"/>
        <w:jc w:val="both"/>
        <w:rPr>
          <w:rFonts w:ascii="Times New Roman" w:hAnsi="Times New Roman" w:cs="Times New Roman"/>
          <w:lang w:val="en-CA"/>
        </w:rPr>
      </w:pPr>
    </w:p>
    <w:p w14:paraId="0778F3CC" w14:textId="77777777" w:rsidR="0049225D" w:rsidRDefault="0049225D" w:rsidP="0049225D">
      <w:pPr>
        <w:pStyle w:val="a0"/>
        <w:spacing w:line="360" w:lineRule="auto"/>
        <w:jc w:val="both"/>
        <w:rPr>
          <w:rFonts w:ascii="Times New Roman" w:hAnsi="Times New Roman" w:cs="Times New Roman"/>
          <w:lang w:val="en-CA"/>
        </w:rPr>
      </w:pPr>
    </w:p>
    <w:p w14:paraId="5F2BE8FF" w14:textId="77777777" w:rsidR="0049225D" w:rsidRDefault="0049225D" w:rsidP="0049225D">
      <w:pPr>
        <w:pStyle w:val="a0"/>
        <w:spacing w:line="360" w:lineRule="auto"/>
        <w:jc w:val="both"/>
        <w:rPr>
          <w:rFonts w:ascii="Times New Roman" w:hAnsi="Times New Roman" w:cs="Times New Roman"/>
          <w:lang w:val="en-CA"/>
        </w:rPr>
      </w:pPr>
    </w:p>
    <w:p w14:paraId="4D5FAB65" w14:textId="77777777" w:rsidR="0049225D" w:rsidRDefault="0049225D" w:rsidP="0049225D">
      <w:pPr>
        <w:pStyle w:val="a0"/>
        <w:spacing w:line="360" w:lineRule="auto"/>
        <w:jc w:val="both"/>
        <w:rPr>
          <w:rFonts w:ascii="Times New Roman" w:hAnsi="Times New Roman" w:cs="Times New Roman"/>
          <w:lang w:val="en-CA"/>
        </w:rPr>
      </w:pPr>
    </w:p>
    <w:p w14:paraId="14FE4054" w14:textId="77777777" w:rsidR="0049225D" w:rsidRPr="0049225D" w:rsidRDefault="0049225D" w:rsidP="0049225D">
      <w:pPr>
        <w:pStyle w:val="a0"/>
        <w:spacing w:line="360" w:lineRule="auto"/>
        <w:jc w:val="both"/>
        <w:rPr>
          <w:rFonts w:ascii="Times New Roman" w:hAnsi="Times New Roman" w:cs="Times New Roman"/>
          <w:lang w:val="en-CA"/>
        </w:rPr>
      </w:pPr>
    </w:p>
    <w:p w14:paraId="24D0CA2E" w14:textId="78E9141C" w:rsidR="0049225D" w:rsidRDefault="00000000" w:rsidP="0049225D">
      <w:pPr>
        <w:pStyle w:val="2"/>
        <w:spacing w:line="360" w:lineRule="auto"/>
        <w:jc w:val="both"/>
        <w:rPr>
          <w:rFonts w:ascii="Times New Roman" w:hAnsi="Times New Roman" w:cs="Times New Roman"/>
          <w:b/>
          <w:bCs/>
          <w:color w:val="auto"/>
          <w:sz w:val="24"/>
          <w:szCs w:val="24"/>
        </w:rPr>
      </w:pPr>
      <w:r w:rsidRPr="0049225D">
        <w:rPr>
          <w:rFonts w:ascii="Times New Roman" w:hAnsi="Times New Roman" w:cs="Times New Roman"/>
          <w:b/>
          <w:bCs/>
          <w:color w:val="auto"/>
          <w:sz w:val="24"/>
          <w:szCs w:val="24"/>
        </w:rPr>
        <w:t>References</w:t>
      </w:r>
    </w:p>
    <w:p w14:paraId="43EA1288" w14:textId="77777777" w:rsidR="0049225D" w:rsidRPr="0049225D" w:rsidRDefault="0049225D" w:rsidP="0049225D">
      <w:pPr>
        <w:pStyle w:val="a0"/>
        <w:rPr>
          <w:lang w:val="en-CA"/>
        </w:rPr>
      </w:pPr>
    </w:p>
    <w:p w14:paraId="04558E81" w14:textId="77777777" w:rsidR="00501BF8" w:rsidRPr="00A35B93" w:rsidRDefault="00000000" w:rsidP="00A35B93">
      <w:pPr>
        <w:pStyle w:val="a9"/>
        <w:spacing w:line="360" w:lineRule="auto"/>
        <w:jc w:val="both"/>
        <w:rPr>
          <w:rFonts w:ascii="Times New Roman" w:hAnsi="Times New Roman" w:cs="Times New Roman"/>
        </w:rPr>
      </w:pPr>
      <w:bookmarkStart w:id="50" w:name="ref-j2021a"/>
      <w:bookmarkStart w:id="51" w:name="refs"/>
      <w:r w:rsidRPr="00A35B93">
        <w:rPr>
          <w:rFonts w:ascii="Times New Roman" w:hAnsi="Times New Roman" w:cs="Times New Roman"/>
        </w:rPr>
        <w:t xml:space="preserve">Bruce, J., Hossain, A., Lall, R., Withers, E. J., Finnegan, S., Underwood, M., Ji, C., Bojke, C., Longo, R., Hulme, C., Hennings, S., Sheridan, R., Westacott, K., Ralhan, S., Martin, F., Davison, J., Shaw, F., Skelton, D., Treml, J., … Lamb, S. (2021). Fall prevention interventions in primary care to reduce fractures and falls in people aged 70 years and over: The PreFIT three-arm cluster RCT. </w:t>
      </w:r>
      <w:r w:rsidRPr="00A35B93">
        <w:rPr>
          <w:rFonts w:ascii="Times New Roman" w:hAnsi="Times New Roman" w:cs="Times New Roman"/>
          <w:i/>
          <w:iCs/>
        </w:rPr>
        <w:t>Health Technology Assessment</w:t>
      </w:r>
      <w:r w:rsidRPr="00A35B93">
        <w:rPr>
          <w:rFonts w:ascii="Times New Roman" w:hAnsi="Times New Roman" w:cs="Times New Roman"/>
        </w:rPr>
        <w:t>.</w:t>
      </w:r>
    </w:p>
    <w:p w14:paraId="61489233" w14:textId="77777777" w:rsidR="00501BF8" w:rsidRPr="00A35B93" w:rsidRDefault="00000000" w:rsidP="00A35B93">
      <w:pPr>
        <w:pStyle w:val="a9"/>
        <w:spacing w:line="360" w:lineRule="auto"/>
        <w:jc w:val="both"/>
        <w:rPr>
          <w:rFonts w:ascii="Times New Roman" w:hAnsi="Times New Roman" w:cs="Times New Roman"/>
        </w:rPr>
      </w:pPr>
      <w:bookmarkStart w:id="52" w:name="ref-y2014"/>
      <w:bookmarkEnd w:id="50"/>
      <w:r w:rsidRPr="00A35B93">
        <w:rPr>
          <w:rFonts w:ascii="Times New Roman" w:hAnsi="Times New Roman" w:cs="Times New Roman"/>
        </w:rPr>
        <w:t xml:space="preserve">Donastorg, Y., Barrington, C., Prez, M., &amp; Kerrigan, D. (2014). Abriendo puertas: Baseline findings from an integrated intervention to promote prevention, treatment and care among FSW living with HIV in the dominican republic. </w:t>
      </w:r>
      <w:r w:rsidRPr="00A35B93">
        <w:rPr>
          <w:rFonts w:ascii="Times New Roman" w:hAnsi="Times New Roman" w:cs="Times New Roman"/>
          <w:i/>
          <w:iCs/>
        </w:rPr>
        <w:t>PLoS ONE</w:t>
      </w:r>
      <w:r w:rsidRPr="00A35B93">
        <w:rPr>
          <w:rFonts w:ascii="Times New Roman" w:hAnsi="Times New Roman" w:cs="Times New Roman"/>
        </w:rPr>
        <w:t>.</w:t>
      </w:r>
    </w:p>
    <w:p w14:paraId="381D963B" w14:textId="77777777" w:rsidR="00501BF8" w:rsidRPr="00A35B93" w:rsidRDefault="00000000" w:rsidP="00A35B93">
      <w:pPr>
        <w:pStyle w:val="a9"/>
        <w:spacing w:line="360" w:lineRule="auto"/>
        <w:jc w:val="both"/>
        <w:rPr>
          <w:rFonts w:ascii="Times New Roman" w:hAnsi="Times New Roman" w:cs="Times New Roman"/>
        </w:rPr>
      </w:pPr>
      <w:bookmarkStart w:id="53" w:name="ref-j2021"/>
      <w:bookmarkEnd w:id="52"/>
      <w:r w:rsidRPr="00A35B93">
        <w:rPr>
          <w:rFonts w:ascii="Times New Roman" w:hAnsi="Times New Roman" w:cs="Times New Roman"/>
        </w:rPr>
        <w:t xml:space="preserve">Kinuthia, J., Ronen, K., Unger, J. A., Jiang, W., Matemo, D., Perrier, T., Osborn, L., Chohan, B., Drake, A. L., Richardson, B., &amp; John-Stewart, G. (2021). SMS messaging to improve retention and viral suppression in prevention of mother-to-child HIV transmission (PMTCT) programs in kenya: A 3-arm randomized clinical trial. </w:t>
      </w:r>
      <w:r w:rsidRPr="00A35B93">
        <w:rPr>
          <w:rFonts w:ascii="Times New Roman" w:hAnsi="Times New Roman" w:cs="Times New Roman"/>
          <w:i/>
          <w:iCs/>
        </w:rPr>
        <w:t>PLoS Medicine</w:t>
      </w:r>
      <w:r w:rsidRPr="00A35B93">
        <w:rPr>
          <w:rFonts w:ascii="Times New Roman" w:hAnsi="Times New Roman" w:cs="Times New Roman"/>
        </w:rPr>
        <w:t>.</w:t>
      </w:r>
    </w:p>
    <w:p w14:paraId="621917E5" w14:textId="77777777" w:rsidR="00501BF8" w:rsidRPr="00A35B93" w:rsidRDefault="00000000" w:rsidP="00A35B93">
      <w:pPr>
        <w:pStyle w:val="a9"/>
        <w:spacing w:line="360" w:lineRule="auto"/>
        <w:jc w:val="both"/>
        <w:rPr>
          <w:rFonts w:ascii="Times New Roman" w:hAnsi="Times New Roman" w:cs="Times New Roman"/>
        </w:rPr>
      </w:pPr>
      <w:bookmarkStart w:id="54" w:name="ref-madeline2025"/>
      <w:bookmarkEnd w:id="53"/>
      <w:r w:rsidRPr="00A35B93">
        <w:rPr>
          <w:rFonts w:ascii="Times New Roman" w:hAnsi="Times New Roman" w:cs="Times New Roman"/>
        </w:rPr>
        <w:t xml:space="preserve">Lickfeld, M. C., Ozisik, D., Makambi, K., &amp; Visconti, A. (2025). An evaluation of HIV incidence and prior HIV prevention efforts among </w:t>
      </w:r>
      <w:proofErr w:type="gramStart"/>
      <w:r w:rsidRPr="00A35B93">
        <w:rPr>
          <w:rFonts w:ascii="Times New Roman" w:hAnsi="Times New Roman" w:cs="Times New Roman"/>
        </w:rPr>
        <w:t>persons</w:t>
      </w:r>
      <w:proofErr w:type="gramEnd"/>
      <w:r w:rsidRPr="00A35B93">
        <w:rPr>
          <w:rFonts w:ascii="Times New Roman" w:hAnsi="Times New Roman" w:cs="Times New Roman"/>
        </w:rPr>
        <w:t xml:space="preserve"> engaged in primary care in a regional ambulatory healthcare system. </w:t>
      </w:r>
      <w:r w:rsidRPr="00A35B93">
        <w:rPr>
          <w:rFonts w:ascii="Times New Roman" w:hAnsi="Times New Roman" w:cs="Times New Roman"/>
          <w:i/>
          <w:iCs/>
        </w:rPr>
        <w:t>International Journal of Research and Scientific Innovation</w:t>
      </w:r>
      <w:r w:rsidRPr="00A35B93">
        <w:rPr>
          <w:rFonts w:ascii="Times New Roman" w:hAnsi="Times New Roman" w:cs="Times New Roman"/>
        </w:rPr>
        <w:t>.</w:t>
      </w:r>
    </w:p>
    <w:p w14:paraId="77B68A73" w14:textId="77777777" w:rsidR="00501BF8" w:rsidRPr="00A35B93" w:rsidRDefault="00000000" w:rsidP="00A35B93">
      <w:pPr>
        <w:pStyle w:val="a9"/>
        <w:spacing w:line="360" w:lineRule="auto"/>
        <w:jc w:val="both"/>
        <w:rPr>
          <w:rFonts w:ascii="Times New Roman" w:hAnsi="Times New Roman" w:cs="Times New Roman"/>
        </w:rPr>
      </w:pPr>
      <w:bookmarkStart w:id="55" w:name="ref-f2021"/>
      <w:bookmarkEnd w:id="54"/>
      <w:r w:rsidRPr="00A35B93">
        <w:rPr>
          <w:rFonts w:ascii="Times New Roman" w:hAnsi="Times New Roman" w:cs="Times New Roman"/>
        </w:rPr>
        <w:t xml:space="preserve">Lpez, F., Catal, M., Prats, C., Estrada, O., Oliva, I., Prat, N., Isnard, M., Valls, R., Vilar, M., Clotet, B., Argimn, J., Aran, A., &amp; Ara, J. (2021). A CostBenefit analysis of COVID-19 vaccination in catalonia. </w:t>
      </w:r>
      <w:r w:rsidRPr="00A35B93">
        <w:rPr>
          <w:rFonts w:ascii="Times New Roman" w:hAnsi="Times New Roman" w:cs="Times New Roman"/>
          <w:i/>
          <w:iCs/>
        </w:rPr>
        <w:t>Vaccines</w:t>
      </w:r>
      <w:r w:rsidRPr="00A35B93">
        <w:rPr>
          <w:rFonts w:ascii="Times New Roman" w:hAnsi="Times New Roman" w:cs="Times New Roman"/>
        </w:rPr>
        <w:t>.</w:t>
      </w:r>
    </w:p>
    <w:p w14:paraId="30EA4AF3" w14:textId="77777777" w:rsidR="00501BF8" w:rsidRDefault="00000000" w:rsidP="00A35B93">
      <w:pPr>
        <w:pStyle w:val="a9"/>
        <w:spacing w:line="360" w:lineRule="auto"/>
        <w:jc w:val="both"/>
        <w:rPr>
          <w:rFonts w:ascii="Times New Roman" w:hAnsi="Times New Roman" w:cs="Times New Roman"/>
        </w:rPr>
      </w:pPr>
      <w:bookmarkStart w:id="56" w:name="ref-ivy2021"/>
      <w:bookmarkEnd w:id="55"/>
      <w:r w:rsidRPr="00A35B93">
        <w:rPr>
          <w:rFonts w:ascii="Times New Roman" w:hAnsi="Times New Roman" w:cs="Times New Roman"/>
        </w:rPr>
        <w:lastRenderedPageBreak/>
        <w:t xml:space="preserve">Mushamiri, I., Belai, W., Sacks, E., Genberg, B., Gupta, S. K., &amp; Perry, H. (2021). Evidence on the effectiveness of community-based primary health care in improving HIV/AIDS outcomes for mothers and children in low- and middle-income countries: Findings from a systematic review. </w:t>
      </w:r>
      <w:r w:rsidRPr="00A35B93">
        <w:rPr>
          <w:rFonts w:ascii="Times New Roman" w:hAnsi="Times New Roman" w:cs="Times New Roman"/>
          <w:i/>
          <w:iCs/>
        </w:rPr>
        <w:t>Journal of Global Health</w:t>
      </w:r>
      <w:r w:rsidRPr="00A35B93">
        <w:rPr>
          <w:rFonts w:ascii="Times New Roman" w:hAnsi="Times New Roman" w:cs="Times New Roman"/>
        </w:rPr>
        <w:t>.</w:t>
      </w:r>
    </w:p>
    <w:p w14:paraId="74E014D9" w14:textId="77777777" w:rsidR="0049225D" w:rsidRPr="00A35B93" w:rsidRDefault="0049225D" w:rsidP="00A35B93">
      <w:pPr>
        <w:pStyle w:val="a9"/>
        <w:spacing w:line="360" w:lineRule="auto"/>
        <w:jc w:val="both"/>
        <w:rPr>
          <w:rFonts w:ascii="Times New Roman" w:hAnsi="Times New Roman" w:cs="Times New Roman"/>
        </w:rPr>
      </w:pPr>
    </w:p>
    <w:p w14:paraId="274A18C8" w14:textId="77777777" w:rsidR="00501BF8" w:rsidRPr="00A35B93" w:rsidRDefault="00000000" w:rsidP="00A35B93">
      <w:pPr>
        <w:pStyle w:val="a9"/>
        <w:spacing w:line="360" w:lineRule="auto"/>
        <w:jc w:val="both"/>
        <w:rPr>
          <w:rFonts w:ascii="Times New Roman" w:hAnsi="Times New Roman" w:cs="Times New Roman"/>
        </w:rPr>
      </w:pPr>
      <w:bookmarkStart w:id="57" w:name="ref-n2020"/>
      <w:bookmarkEnd w:id="56"/>
      <w:r w:rsidRPr="00A35B93">
        <w:rPr>
          <w:rFonts w:ascii="Times New Roman" w:hAnsi="Times New Roman" w:cs="Times New Roman"/>
        </w:rPr>
        <w:t xml:space="preserve">Phanuphak, N., Ramautarsing, R., Chinbunchorn, T., Janamnuaysook, R., Pengnonyang, S., Termvanich, K., Chanlearn, P., Linjongrat, D., Janyam, S., &amp; Phanuphak, P. (2020). Implementing a status-neutral approach to HIV in the asia-pacific. </w:t>
      </w:r>
      <w:r w:rsidRPr="00A35B93">
        <w:rPr>
          <w:rFonts w:ascii="Times New Roman" w:hAnsi="Times New Roman" w:cs="Times New Roman"/>
          <w:i/>
          <w:iCs/>
        </w:rPr>
        <w:t>Current HIV/AIDS Reports</w:t>
      </w:r>
      <w:r w:rsidRPr="00A35B93">
        <w:rPr>
          <w:rFonts w:ascii="Times New Roman" w:hAnsi="Times New Roman" w:cs="Times New Roman"/>
        </w:rPr>
        <w:t>.</w:t>
      </w:r>
    </w:p>
    <w:p w14:paraId="60A57597" w14:textId="77777777" w:rsidR="00501BF8" w:rsidRPr="00A35B93" w:rsidRDefault="00000000" w:rsidP="00A35B93">
      <w:pPr>
        <w:pStyle w:val="a9"/>
        <w:spacing w:line="360" w:lineRule="auto"/>
        <w:jc w:val="both"/>
        <w:rPr>
          <w:rFonts w:ascii="Times New Roman" w:hAnsi="Times New Roman" w:cs="Times New Roman"/>
        </w:rPr>
      </w:pPr>
      <w:bookmarkStart w:id="58" w:name="ref-task1995"/>
      <w:bookmarkEnd w:id="57"/>
      <w:r w:rsidRPr="00A35B93">
        <w:rPr>
          <w:rFonts w:ascii="Times New Roman" w:hAnsi="Times New Roman" w:cs="Times New Roman"/>
        </w:rPr>
        <w:t xml:space="preserve">Principles for Economic Analysis of Health Care Technology, T. F. on. (1995). Economic analysis of health care technology: A report on principles. </w:t>
      </w:r>
      <w:r w:rsidRPr="00A35B93">
        <w:rPr>
          <w:rFonts w:ascii="Times New Roman" w:hAnsi="Times New Roman" w:cs="Times New Roman"/>
          <w:i/>
          <w:iCs/>
        </w:rPr>
        <w:t>American College of Physicians</w:t>
      </w:r>
      <w:r w:rsidRPr="00A35B93">
        <w:rPr>
          <w:rFonts w:ascii="Times New Roman" w:hAnsi="Times New Roman" w:cs="Times New Roman"/>
        </w:rPr>
        <w:t>.</w:t>
      </w:r>
    </w:p>
    <w:p w14:paraId="469CFFE4" w14:textId="77777777" w:rsidR="00501BF8" w:rsidRPr="00A35B93" w:rsidRDefault="00000000" w:rsidP="00A35B93">
      <w:pPr>
        <w:pStyle w:val="a9"/>
        <w:spacing w:line="360" w:lineRule="auto"/>
        <w:jc w:val="both"/>
        <w:rPr>
          <w:rFonts w:ascii="Times New Roman" w:hAnsi="Times New Roman" w:cs="Times New Roman"/>
        </w:rPr>
      </w:pPr>
      <w:bookmarkStart w:id="59" w:name="ref-brbara2005"/>
      <w:bookmarkEnd w:id="58"/>
      <w:r w:rsidRPr="00A35B93">
        <w:rPr>
          <w:rFonts w:ascii="Times New Roman" w:hAnsi="Times New Roman" w:cs="Times New Roman"/>
        </w:rPr>
        <w:t xml:space="preserve">Starfield, B., Shi, L., &amp; Macinko, J. (2005). Contribution of primary care to health systems and health. </w:t>
      </w:r>
      <w:r w:rsidRPr="00A35B93">
        <w:rPr>
          <w:rFonts w:ascii="Times New Roman" w:hAnsi="Times New Roman" w:cs="Times New Roman"/>
          <w:i/>
          <w:iCs/>
        </w:rPr>
        <w:t>Wiley</w:t>
      </w:r>
      <w:r w:rsidRPr="00A35B93">
        <w:rPr>
          <w:rFonts w:ascii="Times New Roman" w:hAnsi="Times New Roman" w:cs="Times New Roman"/>
        </w:rPr>
        <w:t>.</w:t>
      </w:r>
    </w:p>
    <w:p w14:paraId="1011A619" w14:textId="77777777" w:rsidR="00501BF8" w:rsidRPr="00A35B93" w:rsidRDefault="00000000" w:rsidP="00A35B93">
      <w:pPr>
        <w:pStyle w:val="a9"/>
        <w:spacing w:line="360" w:lineRule="auto"/>
        <w:jc w:val="both"/>
        <w:rPr>
          <w:rFonts w:ascii="Times New Roman" w:hAnsi="Times New Roman" w:cs="Times New Roman"/>
        </w:rPr>
      </w:pPr>
      <w:bookmarkStart w:id="60" w:name="ref-elias2018"/>
      <w:bookmarkEnd w:id="59"/>
      <w:r w:rsidRPr="00A35B93">
        <w:rPr>
          <w:rFonts w:ascii="Times New Roman" w:hAnsi="Times New Roman" w:cs="Times New Roman"/>
        </w:rPr>
        <w:t xml:space="preserve">Zegeye, E. A., Mbonigaba, J., &amp; Dimbuene, Z. T. (2018). Factors associated with the utilization of antenatal care and prevention of mother-to-child HIV transmission services in ethiopia: Applying a count regression model. </w:t>
      </w:r>
      <w:r w:rsidRPr="00A35B93">
        <w:rPr>
          <w:rFonts w:ascii="Times New Roman" w:hAnsi="Times New Roman" w:cs="Times New Roman"/>
          <w:i/>
          <w:iCs/>
        </w:rPr>
        <w:t xml:space="preserve">BMC </w:t>
      </w:r>
      <w:proofErr w:type="gramStart"/>
      <w:r w:rsidRPr="00A35B93">
        <w:rPr>
          <w:rFonts w:ascii="Times New Roman" w:hAnsi="Times New Roman" w:cs="Times New Roman"/>
          <w:i/>
          <w:iCs/>
        </w:rPr>
        <w:t>Women”s</w:t>
      </w:r>
      <w:proofErr w:type="gramEnd"/>
      <w:r w:rsidRPr="00A35B93">
        <w:rPr>
          <w:rFonts w:ascii="Times New Roman" w:hAnsi="Times New Roman" w:cs="Times New Roman"/>
          <w:i/>
          <w:iCs/>
        </w:rPr>
        <w:t xml:space="preserve"> Health</w:t>
      </w:r>
      <w:r w:rsidRPr="00A35B93">
        <w:rPr>
          <w:rFonts w:ascii="Times New Roman" w:hAnsi="Times New Roman" w:cs="Times New Roman"/>
        </w:rPr>
        <w:t>.</w:t>
      </w:r>
      <w:bookmarkEnd w:id="0"/>
      <w:bookmarkEnd w:id="49"/>
      <w:bookmarkEnd w:id="51"/>
      <w:bookmarkEnd w:id="60"/>
    </w:p>
    <w:sectPr w:rsidR="00501BF8" w:rsidRPr="00A35B93">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EBA5" w14:textId="77777777" w:rsidR="00C04C86" w:rsidRDefault="00C04C86" w:rsidP="0029243C">
      <w:pPr>
        <w:spacing w:after="0"/>
      </w:pPr>
      <w:r>
        <w:separator/>
      </w:r>
    </w:p>
  </w:endnote>
  <w:endnote w:type="continuationSeparator" w:id="0">
    <w:p w14:paraId="266C085C" w14:textId="77777777" w:rsidR="00C04C86" w:rsidRDefault="00C04C86" w:rsidP="002924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F24A" w14:textId="77777777" w:rsidR="00C04C86" w:rsidRDefault="00C04C86" w:rsidP="0029243C">
      <w:pPr>
        <w:spacing w:after="0"/>
      </w:pPr>
      <w:r>
        <w:separator/>
      </w:r>
    </w:p>
  </w:footnote>
  <w:footnote w:type="continuationSeparator" w:id="0">
    <w:p w14:paraId="18CFD3D0" w14:textId="77777777" w:rsidR="00C04C86" w:rsidRDefault="00C04C86" w:rsidP="002924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520C46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542D74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972B5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2231469">
    <w:abstractNumId w:val="0"/>
  </w:num>
  <w:num w:numId="2" w16cid:durableId="1655064977">
    <w:abstractNumId w:val="1"/>
  </w:num>
  <w:num w:numId="3" w16cid:durableId="1669869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773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F8"/>
    <w:rsid w:val="0029243C"/>
    <w:rsid w:val="0049225D"/>
    <w:rsid w:val="00501BF8"/>
    <w:rsid w:val="00A35B93"/>
    <w:rsid w:val="00BC0307"/>
    <w:rsid w:val="00C04C86"/>
    <w:rsid w:val="00D028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7AEE"/>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rsid w:val="0029243C"/>
    <w:pPr>
      <w:tabs>
        <w:tab w:val="center" w:pos="4153"/>
        <w:tab w:val="right" w:pos="8306"/>
      </w:tabs>
      <w:snapToGrid w:val="0"/>
    </w:pPr>
    <w:rPr>
      <w:sz w:val="20"/>
      <w:szCs w:val="20"/>
    </w:rPr>
  </w:style>
  <w:style w:type="character" w:customStyle="1" w:styleId="af1">
    <w:name w:val="页眉 字符"/>
    <w:basedOn w:val="a1"/>
    <w:link w:val="af0"/>
    <w:rsid w:val="0029243C"/>
    <w:rPr>
      <w:sz w:val="20"/>
      <w:szCs w:val="20"/>
    </w:rPr>
  </w:style>
  <w:style w:type="paragraph" w:styleId="af2">
    <w:name w:val="footer"/>
    <w:basedOn w:val="a"/>
    <w:link w:val="af3"/>
    <w:rsid w:val="0029243C"/>
    <w:pPr>
      <w:tabs>
        <w:tab w:val="center" w:pos="4153"/>
        <w:tab w:val="right" w:pos="8306"/>
      </w:tabs>
      <w:snapToGrid w:val="0"/>
    </w:pPr>
    <w:rPr>
      <w:sz w:val="20"/>
      <w:szCs w:val="20"/>
    </w:rPr>
  </w:style>
  <w:style w:type="character" w:customStyle="1" w:styleId="af3">
    <w:name w:val="页脚 字符"/>
    <w:basedOn w:val="a1"/>
    <w:link w:val="af2"/>
    <w:rsid w:val="002924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7315</Words>
  <Characters>41701</Characters>
  <Application>Microsoft Office Word</Application>
  <DocSecurity>0</DocSecurity>
  <Lines>347</Lines>
  <Paragraphs>97</Paragraphs>
  <ScaleCrop>false</ScaleCrop>
  <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2026-01-19T14:41:00Z</dcterms:created>
  <dcterms:modified xsi:type="dcterms:W3CDTF">2026-01-19T14:41:00Z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/tmp/document-temp/references_66a6680d127201aa_1768830201.bib</vt:lpwstr>
  </property>
  <property fmtid="{D5CDD505-2E9C-101B-9397-08002B2CF9AE}" pid="3" name="csl">
    <vt:lpwstr>/tmp/document-temp/style_66a6680d127201aa_1768830201.csl</vt:lpwstr>
  </property>
  <property fmtid="{D5CDD505-2E9C-101B-9397-08002B2CF9AE}" pid="4" name="link-citations">
    <vt:lpwstr>True</vt:lpwstr>
  </property>
</Properties>
</file>