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D174" w14:textId="77777777" w:rsidR="009C71E2" w:rsidRPr="00FE6C8B" w:rsidRDefault="00000000" w:rsidP="00FE6C8B">
      <w:pPr>
        <w:pStyle w:val="1"/>
        <w:jc w:val="center"/>
        <w:rPr>
          <w:rFonts w:ascii="Times New Roman" w:hAnsi="Times New Roman" w:cs="Times New Roman"/>
          <w:b/>
          <w:bCs/>
          <w:color w:val="auto"/>
        </w:rPr>
      </w:pPr>
      <w:bookmarkStart w:id="0" w:name="X79a492868822e36b57897efbfaabf13aa883c04"/>
      <w:r w:rsidRPr="00FE6C8B">
        <w:rPr>
          <w:rFonts w:ascii="Times New Roman" w:hAnsi="Times New Roman" w:cs="Times New Roman"/>
          <w:b/>
          <w:bCs/>
          <w:color w:val="auto"/>
        </w:rPr>
        <w:t>Reforming the “Offensive Weapons” Ordinance: A Legal and Public Health Analysis of the Impact of Hong Kong’s Laws on the Distribution of Safe-Sex Materials and Comprehensive Sexual Health Education for Adults</w:t>
      </w:r>
    </w:p>
    <w:p w14:paraId="355A1473" w14:textId="77777777" w:rsidR="00FE6C8B" w:rsidRPr="00FE6C8B" w:rsidRDefault="00FE6C8B" w:rsidP="00FE6C8B">
      <w:pPr>
        <w:pStyle w:val="a0"/>
        <w:jc w:val="center"/>
        <w:rPr>
          <w:rFonts w:ascii="Times New Roman" w:hAnsi="Times New Roman" w:cs="Times New Roman"/>
          <w:lang w:val="en-CA"/>
        </w:rPr>
      </w:pPr>
    </w:p>
    <w:p w14:paraId="3CBF134B" w14:textId="35BEA92C" w:rsidR="00FE6C8B" w:rsidRDefault="00FE6C8B" w:rsidP="00FE6C8B">
      <w:pPr>
        <w:pStyle w:val="a0"/>
        <w:jc w:val="center"/>
        <w:rPr>
          <w:rFonts w:ascii="Times New Roman" w:hAnsi="Times New Roman" w:cs="Times New Roman"/>
          <w:b/>
          <w:bCs/>
          <w:sz w:val="28"/>
          <w:szCs w:val="28"/>
          <w:lang w:val="en-CA"/>
        </w:rPr>
      </w:pPr>
      <w:r w:rsidRPr="00FE6C8B">
        <w:rPr>
          <w:rFonts w:ascii="Times New Roman" w:hAnsi="Times New Roman" w:cs="Times New Roman"/>
          <w:b/>
          <w:bCs/>
          <w:sz w:val="28"/>
          <w:szCs w:val="28"/>
          <w:lang w:val="en-CA"/>
        </w:rPr>
        <w:t>The Hong Kong Aids Prevention Society (HKAPS)</w:t>
      </w:r>
    </w:p>
    <w:p w14:paraId="5A60B00A" w14:textId="77777777" w:rsidR="00FE6C8B" w:rsidRPr="00FE6C8B" w:rsidRDefault="00FE6C8B" w:rsidP="00FE6C8B">
      <w:pPr>
        <w:pStyle w:val="a0"/>
        <w:spacing w:line="360" w:lineRule="auto"/>
        <w:jc w:val="center"/>
        <w:rPr>
          <w:rFonts w:ascii="Times New Roman" w:hAnsi="Times New Roman" w:cs="Times New Roman"/>
          <w:b/>
          <w:bCs/>
          <w:sz w:val="28"/>
          <w:szCs w:val="28"/>
          <w:lang w:val="en-CA"/>
        </w:rPr>
      </w:pPr>
    </w:p>
    <w:p w14:paraId="280C17AC" w14:textId="77777777" w:rsidR="009C71E2" w:rsidRPr="00FE6C8B" w:rsidRDefault="00000000" w:rsidP="00FE6C8B">
      <w:pPr>
        <w:pStyle w:val="2"/>
        <w:spacing w:line="360" w:lineRule="auto"/>
        <w:jc w:val="both"/>
        <w:rPr>
          <w:rFonts w:ascii="Times New Roman" w:hAnsi="Times New Roman" w:cs="Times New Roman"/>
          <w:color w:val="auto"/>
          <w:sz w:val="24"/>
          <w:szCs w:val="24"/>
        </w:rPr>
      </w:pPr>
      <w:bookmarkStart w:id="1" w:name="executive-summary"/>
      <w:r w:rsidRPr="00FE6C8B">
        <w:rPr>
          <w:rFonts w:ascii="Times New Roman" w:hAnsi="Times New Roman" w:cs="Times New Roman"/>
          <w:b/>
          <w:bCs/>
          <w:color w:val="auto"/>
          <w:sz w:val="24"/>
          <w:szCs w:val="24"/>
        </w:rPr>
        <w:t>Executive Summary</w:t>
      </w:r>
    </w:p>
    <w:p w14:paraId="72F4F4BA"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 xml:space="preserve">This report examines the legal and public health implications of Hong Kong’s classification of sex toys and related materials as “offensive weapons” under Chapter 217 of the Offensive Weapons Ordinance. Through comprehensive review of international evidence, legal frameworks, and public health research, this analysis demonstrates that such restrictive categorization creates significant barriers to sexual health education, limits access to safe-sex </w:t>
      </w:r>
      <w:proofErr w:type="gramStart"/>
      <w:r w:rsidRPr="00FE6C8B">
        <w:rPr>
          <w:rFonts w:ascii="Times New Roman" w:hAnsi="Times New Roman" w:cs="Times New Roman"/>
        </w:rPr>
        <w:t>materials, and</w:t>
      </w:r>
      <w:proofErr w:type="gramEnd"/>
      <w:r w:rsidRPr="00FE6C8B">
        <w:rPr>
          <w:rFonts w:ascii="Times New Roman" w:hAnsi="Times New Roman" w:cs="Times New Roman"/>
        </w:rPr>
        <w:t xml:space="preserve"> undermines evidence-based STI and HIV prevention efforts. The report recommends urgent legislative reform to reclassify these items, align Hong Kong’s approach with international public health best practices, and enhance comprehensive sexual health education for adults. Key findings indicate that criminalization-based approaches to sexual health materials are associated with worse health outcomes, increased stigma, and reduced access to critical prevention resources. Reform presents an opportunity to strengthen Hong Kong’s public health infrastructure while respecting cultural contexts and advancing evidence-based harm reduction strategies.</w:t>
      </w:r>
    </w:p>
    <w:p w14:paraId="3A5D7C35" w14:textId="77777777" w:rsidR="009C71E2" w:rsidRPr="00FE6C8B" w:rsidRDefault="00000000" w:rsidP="00FE6C8B">
      <w:pPr>
        <w:pStyle w:val="2"/>
        <w:spacing w:line="360" w:lineRule="auto"/>
        <w:jc w:val="both"/>
        <w:rPr>
          <w:rFonts w:ascii="Times New Roman" w:hAnsi="Times New Roman" w:cs="Times New Roman"/>
          <w:color w:val="auto"/>
          <w:sz w:val="24"/>
          <w:szCs w:val="24"/>
        </w:rPr>
      </w:pPr>
      <w:bookmarkStart w:id="2" w:name="introduction-and-background"/>
      <w:bookmarkEnd w:id="1"/>
      <w:r w:rsidRPr="00FE6C8B">
        <w:rPr>
          <w:rFonts w:ascii="Times New Roman" w:hAnsi="Times New Roman" w:cs="Times New Roman"/>
          <w:b/>
          <w:bCs/>
          <w:color w:val="auto"/>
          <w:sz w:val="24"/>
          <w:szCs w:val="24"/>
        </w:rPr>
        <w:t>1. Introduction and Background</w:t>
      </w:r>
    </w:p>
    <w:p w14:paraId="2F72C1D1"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3" w:name="X2f8f5848836bb730f33c6f8b1a9dec8f93c1c9f"/>
      <w:r w:rsidRPr="00FE6C8B">
        <w:rPr>
          <w:rFonts w:ascii="Times New Roman" w:hAnsi="Times New Roman" w:cs="Times New Roman"/>
          <w:color w:val="auto"/>
          <w:sz w:val="24"/>
          <w:szCs w:val="24"/>
        </w:rPr>
        <w:t>1.1 Sexual Health as a Global Public Health Priority</w:t>
      </w:r>
    </w:p>
    <w:p w14:paraId="60822A1E"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 xml:space="preserve">Sexual and reproductive health represents a fundamental component of overall health, well-being, and human rights across the lifespan. The World Health Organization and </w:t>
      </w:r>
      <w:r w:rsidRPr="00FE6C8B">
        <w:rPr>
          <w:rFonts w:ascii="Times New Roman" w:hAnsi="Times New Roman" w:cs="Times New Roman"/>
        </w:rPr>
        <w:lastRenderedPageBreak/>
        <w:t>international health bodies have consistently emphasized that access to comprehensive sexual health education and materials constitutes an essential element of public health infrastructure (</w:t>
      </w:r>
      <w:hyperlink w:anchor="ref-helen2020">
        <w:r w:rsidRPr="00FE6C8B">
          <w:rPr>
            <w:rStyle w:val="af"/>
            <w:rFonts w:ascii="Times New Roman" w:hAnsi="Times New Roman" w:cs="Times New Roman"/>
            <w:color w:val="auto"/>
          </w:rPr>
          <w:t>Clark et al., 2020</w:t>
        </w:r>
      </w:hyperlink>
      <w:r w:rsidRPr="00FE6C8B">
        <w:rPr>
          <w:rFonts w:ascii="Times New Roman" w:hAnsi="Times New Roman" w:cs="Times New Roman"/>
        </w:rPr>
        <w:t>). Despite dramatic improvements in many health indicators globally, sexual health outcomes remain suboptimal in numerous contexts, with significant implications for disease transmission, reproductive health, and quality of life (</w:t>
      </w:r>
      <w:hyperlink w:anchor="ref-hildie2019">
        <w:r w:rsidRPr="00FE6C8B">
          <w:rPr>
            <w:rStyle w:val="af"/>
            <w:rFonts w:ascii="Times New Roman" w:hAnsi="Times New Roman" w:cs="Times New Roman"/>
            <w:color w:val="auto"/>
          </w:rPr>
          <w:t>H. Leung et al., 2019</w:t>
        </w:r>
      </w:hyperlink>
      <w:r w:rsidRPr="00FE6C8B">
        <w:rPr>
          <w:rFonts w:ascii="Times New Roman" w:hAnsi="Times New Roman" w:cs="Times New Roman"/>
        </w:rPr>
        <w:t>).</w:t>
      </w:r>
    </w:p>
    <w:p w14:paraId="7C96ADC4"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Hong Kong faces distinctive sexual health challenges within the broader Asian context. Research indicates that comprehensive school-based sexuality education remains inadequate in Hong Kong, with recent public health concerns highlighting gaps in sexual health knowledge, awareness, and access to prevention resources (</w:t>
      </w:r>
      <w:hyperlink w:anchor="ref-e2021">
        <w:r w:rsidRPr="00FE6C8B">
          <w:rPr>
            <w:rStyle w:val="af"/>
            <w:rFonts w:ascii="Times New Roman" w:hAnsi="Times New Roman" w:cs="Times New Roman"/>
            <w:color w:val="auto"/>
          </w:rPr>
          <w:t>Andres et al., 2021</w:t>
        </w:r>
      </w:hyperlink>
      <w:r w:rsidRPr="00FE6C8B">
        <w:rPr>
          <w:rFonts w:ascii="Times New Roman" w:hAnsi="Times New Roman" w:cs="Times New Roman"/>
        </w:rPr>
        <w:t>). The city’s legal framework governing sexual health materials, particularly the classification of certain items under the Offensive Weapons Ordinance (Cap. 217), creates unique barriers that merit systematic examination from both legal and public health perspectives.</w:t>
      </w:r>
    </w:p>
    <w:p w14:paraId="3B95357C"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4" w:name="the-legal-classification-paradox"/>
      <w:bookmarkEnd w:id="3"/>
      <w:r w:rsidRPr="00FE6C8B">
        <w:rPr>
          <w:rFonts w:ascii="Times New Roman" w:hAnsi="Times New Roman" w:cs="Times New Roman"/>
          <w:color w:val="auto"/>
          <w:sz w:val="24"/>
          <w:szCs w:val="24"/>
        </w:rPr>
        <w:t>1.2 The Legal Classification Paradox</w:t>
      </w:r>
    </w:p>
    <w:p w14:paraId="6631A47F"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Hong Kong’s Offensive Weapons Ordinance categorizes sex toys and related intimate wellness products as “offensive weapons,” subjecting their sale, distribution, and importation to criminal penalties. This classification creates a paradoxical situation where materials that serve legitimate sexual health, education, and wellness purposes are treated equivalently to items designed to cause harm. The practical implications of this classification extend beyond mere semantics, affecting the availability of sexual health education resources, limiting adults’ access to safe-sex materials, and potentially undermining broader public health objectives related to STI prevention, HIV reduction, and comprehensive sexual health education.</w:t>
      </w:r>
    </w:p>
    <w:p w14:paraId="19807CCC"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The legal framework reflects historical approaches to regulating sexual morality through criminal law, an orientation that contemporary public health evidence increasingly challenges (</w:t>
      </w:r>
      <w:hyperlink w:anchor="ref-phil2005">
        <w:r w:rsidRPr="00FE6C8B">
          <w:rPr>
            <w:rStyle w:val="af"/>
            <w:rFonts w:ascii="Times New Roman" w:hAnsi="Times New Roman" w:cs="Times New Roman"/>
            <w:color w:val="auto"/>
          </w:rPr>
          <w:t>Chan, 2005</w:t>
        </w:r>
      </w:hyperlink>
      <w:r w:rsidRPr="00FE6C8B">
        <w:rPr>
          <w:rFonts w:ascii="Times New Roman" w:hAnsi="Times New Roman" w:cs="Times New Roman"/>
        </w:rPr>
        <w:t xml:space="preserve">). As Wong documented in analyzing evangelical activism and sexual politics in Hong Kong, restrictive approaches often stem from </w:t>
      </w:r>
      <w:proofErr w:type="gramStart"/>
      <w:r w:rsidRPr="00FE6C8B">
        <w:rPr>
          <w:rFonts w:ascii="Times New Roman" w:hAnsi="Times New Roman" w:cs="Times New Roman"/>
        </w:rPr>
        <w:t>particular moral</w:t>
      </w:r>
      <w:proofErr w:type="gramEnd"/>
      <w:r w:rsidRPr="00FE6C8B">
        <w:rPr>
          <w:rFonts w:ascii="Times New Roman" w:hAnsi="Times New Roman" w:cs="Times New Roman"/>
        </w:rPr>
        <w:t xml:space="preserve"> </w:t>
      </w:r>
      <w:r w:rsidRPr="00FE6C8B">
        <w:rPr>
          <w:rFonts w:ascii="Times New Roman" w:hAnsi="Times New Roman" w:cs="Times New Roman"/>
        </w:rPr>
        <w:lastRenderedPageBreak/>
        <w:t>frameworks that may not align with public health priorities or evidence-based harm reduction strategies (</w:t>
      </w:r>
      <w:hyperlink w:anchor="ref-wai2013">
        <w:r w:rsidRPr="00FE6C8B">
          <w:rPr>
            <w:rStyle w:val="af"/>
            <w:rFonts w:ascii="Times New Roman" w:hAnsi="Times New Roman" w:cs="Times New Roman"/>
            <w:color w:val="auto"/>
          </w:rPr>
          <w:t>Wong, 2013</w:t>
        </w:r>
      </w:hyperlink>
      <w:r w:rsidRPr="00FE6C8B">
        <w:rPr>
          <w:rFonts w:ascii="Times New Roman" w:hAnsi="Times New Roman" w:cs="Times New Roman"/>
        </w:rPr>
        <w:t>).</w:t>
      </w:r>
    </w:p>
    <w:p w14:paraId="71405DB9"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5" w:name="X1dd3ef14f8e55d8720f9a46677af07537a80d04"/>
      <w:bookmarkEnd w:id="4"/>
      <w:r w:rsidRPr="00FE6C8B">
        <w:rPr>
          <w:rFonts w:ascii="Times New Roman" w:hAnsi="Times New Roman" w:cs="Times New Roman"/>
          <w:color w:val="auto"/>
          <w:sz w:val="24"/>
          <w:szCs w:val="24"/>
        </w:rPr>
        <w:t>1.3 Rationale for Reform and Report Objectives</w:t>
      </w:r>
    </w:p>
    <w:p w14:paraId="4D586436"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The imperative for reform emerges from multiple converging factors. First, extensive international evidence demonstrates that restrictive legal approaches to sexual health materials correlate with worse health outcomes, including increased STI transmission, reduced access to prevention resources, and heightened stigma (</w:t>
      </w:r>
      <w:hyperlink w:anchor="ref-lucy2018">
        <w:r w:rsidRPr="00FE6C8B">
          <w:rPr>
            <w:rStyle w:val="af"/>
            <w:rFonts w:ascii="Times New Roman" w:hAnsi="Times New Roman" w:cs="Times New Roman"/>
            <w:color w:val="auto"/>
          </w:rPr>
          <w:t>Platt et al., 2018</w:t>
        </w:r>
      </w:hyperlink>
      <w:r w:rsidRPr="00FE6C8B">
        <w:rPr>
          <w:rFonts w:ascii="Times New Roman" w:hAnsi="Times New Roman" w:cs="Times New Roman"/>
        </w:rPr>
        <w:t>). Second, Hong Kong’s existing framework creates barriers to implementing comprehensive sexuality education programs that require access to educational materials and demonstrations of safe-sex practices (</w:t>
      </w:r>
      <w:hyperlink w:anchor="ref-e2021">
        <w:r w:rsidRPr="00FE6C8B">
          <w:rPr>
            <w:rStyle w:val="af"/>
            <w:rFonts w:ascii="Times New Roman" w:hAnsi="Times New Roman" w:cs="Times New Roman"/>
            <w:color w:val="auto"/>
          </w:rPr>
          <w:t>Andres et al., 2021</w:t>
        </w:r>
      </w:hyperlink>
      <w:r w:rsidRPr="00FE6C8B">
        <w:rPr>
          <w:rFonts w:ascii="Times New Roman" w:hAnsi="Times New Roman" w:cs="Times New Roman"/>
        </w:rPr>
        <w:t>). Third, comparative analysis of international jurisdictions reveals that public health-centered approaches yield superior outcomes while respecting cultural contexts and maintaining appropriate regulatory oversight.</w:t>
      </w:r>
    </w:p>
    <w:p w14:paraId="53095BEF"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This report aims to provide a comprehensive, evidence-based analysis examining: (1) the current legal framework and its public health implications; (2) the impact of restrictive categorization on sexual health education and access to safe-sex materials; (3) international best practices and comparative legal frameworks; (4) specific recommendations for legislative and policy reform. The analysis draws upon systematic review of international literature, legal frameworks, epidemiological evidence, and public health policy research to inform evidence-based recommendations for reform.</w:t>
      </w:r>
    </w:p>
    <w:p w14:paraId="2918C461" w14:textId="77777777" w:rsidR="009C71E2" w:rsidRPr="00FE6C8B" w:rsidRDefault="00000000" w:rsidP="00FE6C8B">
      <w:pPr>
        <w:pStyle w:val="2"/>
        <w:spacing w:line="360" w:lineRule="auto"/>
        <w:jc w:val="both"/>
        <w:rPr>
          <w:rFonts w:ascii="Times New Roman" w:hAnsi="Times New Roman" w:cs="Times New Roman"/>
          <w:color w:val="auto"/>
          <w:sz w:val="24"/>
          <w:szCs w:val="24"/>
        </w:rPr>
      </w:pPr>
      <w:bookmarkStart w:id="6" w:name="legal-and-regulatory-framework-analysis"/>
      <w:bookmarkEnd w:id="2"/>
      <w:bookmarkEnd w:id="5"/>
      <w:r w:rsidRPr="00FE6C8B">
        <w:rPr>
          <w:rFonts w:ascii="Times New Roman" w:hAnsi="Times New Roman" w:cs="Times New Roman"/>
          <w:b/>
          <w:bCs/>
          <w:color w:val="auto"/>
          <w:sz w:val="24"/>
          <w:szCs w:val="24"/>
        </w:rPr>
        <w:t>2. Legal and Regulatory Framework Analysis</w:t>
      </w:r>
    </w:p>
    <w:p w14:paraId="36328DF0"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7" w:name="hong-kongs-current-legal-approach"/>
      <w:r w:rsidRPr="00FE6C8B">
        <w:rPr>
          <w:rFonts w:ascii="Times New Roman" w:hAnsi="Times New Roman" w:cs="Times New Roman"/>
          <w:color w:val="auto"/>
          <w:sz w:val="24"/>
          <w:szCs w:val="24"/>
        </w:rPr>
        <w:t>2.1 Hong Kong’s Current Legal Approach</w:t>
      </w:r>
    </w:p>
    <w:p w14:paraId="4C7BFBB7"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 xml:space="preserve">The Offensive Weapons Ordinance (Cap. 217) represents Hong Kong’s primary legislative instrument for regulating items deemed potentially dangerous to public safety. The inclusion of sex toys and intimate wellness products within this framework reflects a particular approach to regulating sexual morality through criminal law rather than public health or consumer safety frameworks. This categorization </w:t>
      </w:r>
      <w:proofErr w:type="gramStart"/>
      <w:r w:rsidRPr="00FE6C8B">
        <w:rPr>
          <w:rFonts w:ascii="Times New Roman" w:hAnsi="Times New Roman" w:cs="Times New Roman"/>
        </w:rPr>
        <w:t>subjects</w:t>
      </w:r>
      <w:proofErr w:type="gramEnd"/>
      <w:r w:rsidRPr="00FE6C8B">
        <w:rPr>
          <w:rFonts w:ascii="Times New Roman" w:hAnsi="Times New Roman" w:cs="Times New Roman"/>
        </w:rPr>
        <w:t xml:space="preserve"> manufacturers, distributors, retailers, and potentially consumers to criminal liability for activities involving these products.</w:t>
      </w:r>
    </w:p>
    <w:p w14:paraId="4B7478EA"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lastRenderedPageBreak/>
        <w:t>The legal classification creates several practical complications. Healthcare providers and public health educators face potential legal jeopardy when demonstrating proper condom use or discussing safe-sex practices that might involve regulated items (</w:t>
      </w:r>
      <w:hyperlink w:anchor="ref-r2017">
        <w:r w:rsidRPr="00FE6C8B">
          <w:rPr>
            <w:rStyle w:val="af"/>
            <w:rFonts w:ascii="Times New Roman" w:hAnsi="Times New Roman" w:cs="Times New Roman"/>
            <w:color w:val="auto"/>
          </w:rPr>
          <w:t>Wanyenze et al., 2017</w:t>
        </w:r>
      </w:hyperlink>
      <w:r w:rsidRPr="00FE6C8B">
        <w:rPr>
          <w:rFonts w:ascii="Times New Roman" w:hAnsi="Times New Roman" w:cs="Times New Roman"/>
        </w:rPr>
        <w:t>). Sexual health organizations encounter barriers in distributing educational materials and resources. Adults seeking to access these products for legitimate health, wellness, or relationship purposes confront stigma, legal uncertainty, and practical obstacles to procurement (</w:t>
      </w:r>
      <w:hyperlink w:anchor="ref-n2013">
        <w:r w:rsidRPr="00FE6C8B">
          <w:rPr>
            <w:rStyle w:val="af"/>
            <w:rFonts w:ascii="Times New Roman" w:hAnsi="Times New Roman" w:cs="Times New Roman"/>
            <w:color w:val="auto"/>
          </w:rPr>
          <w:t>Greenwood &amp; Wilkinson, 2013</w:t>
        </w:r>
      </w:hyperlink>
      <w:r w:rsidRPr="00FE6C8B">
        <w:rPr>
          <w:rFonts w:ascii="Times New Roman" w:hAnsi="Times New Roman" w:cs="Times New Roman"/>
        </w:rPr>
        <w:t>).</w:t>
      </w:r>
    </w:p>
    <w:p w14:paraId="4E4F9641"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8" w:name="Xdb4502c9915338ac862b0445797ce65a6fc78e8"/>
      <w:bookmarkEnd w:id="7"/>
      <w:r w:rsidRPr="00FE6C8B">
        <w:rPr>
          <w:rFonts w:ascii="Times New Roman" w:hAnsi="Times New Roman" w:cs="Times New Roman"/>
          <w:color w:val="auto"/>
          <w:sz w:val="24"/>
          <w:szCs w:val="24"/>
        </w:rPr>
        <w:t>2.2 Comparative International Legal Frameworks</w:t>
      </w:r>
    </w:p>
    <w:p w14:paraId="5E440F02"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Examination of international approaches reveals substantial variation in how jurisdictions regulate sexual health materials, with most developed economies adopting public health-centered frameworks rather than criminal prohibitions. Three primary models emerge from comparative analysis:</w:t>
      </w:r>
    </w:p>
    <w:p w14:paraId="74009FEE"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b/>
          <w:bCs/>
        </w:rPr>
        <w:t>Model 1: Decriminalization with Consumer Safety Regulation</w:t>
      </w:r>
      <w:r w:rsidRPr="00FE6C8B">
        <w:rPr>
          <w:rFonts w:ascii="Times New Roman" w:hAnsi="Times New Roman" w:cs="Times New Roman"/>
        </w:rPr>
        <w:t xml:space="preserve"> Many Western European nations, Australia, and New Zealand have decriminalized sexual wellness products while implementing consumer safety standards. These frameworks treat intimate products similarly to other consumer goods, subjecting them to materials safety, labeling, and quality control requirements without criminal prohibitions. This approach recognizes that adults have legitimate interests in accessing these products while ensuring appropriate safety standards (</w:t>
      </w:r>
      <w:hyperlink w:anchor="ref-ine2017">
        <w:r w:rsidRPr="00FE6C8B">
          <w:rPr>
            <w:rStyle w:val="af"/>
            <w:rFonts w:ascii="Times New Roman" w:hAnsi="Times New Roman" w:cs="Times New Roman"/>
            <w:color w:val="auto"/>
          </w:rPr>
          <w:t>Vanwesenbeeck, 2017</w:t>
        </w:r>
      </w:hyperlink>
      <w:r w:rsidRPr="00FE6C8B">
        <w:rPr>
          <w:rFonts w:ascii="Times New Roman" w:hAnsi="Times New Roman" w:cs="Times New Roman"/>
        </w:rPr>
        <w:t>).</w:t>
      </w:r>
    </w:p>
    <w:p w14:paraId="5704765B"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b/>
          <w:bCs/>
        </w:rPr>
        <w:t>Model 2: Public Health Integration</w:t>
      </w:r>
      <w:r w:rsidRPr="00FE6C8B">
        <w:rPr>
          <w:rFonts w:ascii="Times New Roman" w:hAnsi="Times New Roman" w:cs="Times New Roman"/>
        </w:rPr>
        <w:t xml:space="preserve"> Several jurisdictions integrate sexual wellness products explicitly into public health frameworks. Thailand’s comprehensive approach to HIV prevention, for example, includes widespread availability of diverse safe-sex materials through public health channels (</w:t>
      </w:r>
      <w:hyperlink w:anchor="ref-carlos2002">
        <w:r w:rsidRPr="00FE6C8B">
          <w:rPr>
            <w:rStyle w:val="af"/>
            <w:rFonts w:ascii="Times New Roman" w:hAnsi="Times New Roman" w:cs="Times New Roman"/>
            <w:color w:val="auto"/>
          </w:rPr>
          <w:t>Ro &amp; Seplveda, 2002</w:t>
        </w:r>
      </w:hyperlink>
      <w:r w:rsidRPr="00FE6C8B">
        <w:rPr>
          <w:rFonts w:ascii="Times New Roman" w:hAnsi="Times New Roman" w:cs="Times New Roman"/>
        </w:rPr>
        <w:t>). Brazil’s integration of harm reduction principles into sexual health policy demonstrates how public health frameworks can accommodate diverse approaches to sexual wellness while maintaining robust prevention programs (</w:t>
      </w:r>
      <w:hyperlink w:anchor="ref-pamina2002">
        <w:r w:rsidRPr="00FE6C8B">
          <w:rPr>
            <w:rStyle w:val="af"/>
            <w:rFonts w:ascii="Times New Roman" w:hAnsi="Times New Roman" w:cs="Times New Roman"/>
            <w:color w:val="auto"/>
          </w:rPr>
          <w:t>Gorbach et al., 2002</w:t>
        </w:r>
      </w:hyperlink>
      <w:r w:rsidRPr="00FE6C8B">
        <w:rPr>
          <w:rFonts w:ascii="Times New Roman" w:hAnsi="Times New Roman" w:cs="Times New Roman"/>
        </w:rPr>
        <w:t>).</w:t>
      </w:r>
    </w:p>
    <w:p w14:paraId="613D5580"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b/>
          <w:bCs/>
        </w:rPr>
        <w:t>Model 3: Harm Reduction-Centered Frameworks</w:t>
      </w:r>
      <w:r w:rsidRPr="00FE6C8B">
        <w:rPr>
          <w:rFonts w:ascii="Times New Roman" w:hAnsi="Times New Roman" w:cs="Times New Roman"/>
        </w:rPr>
        <w:t xml:space="preserve"> Countries adopting harm reduction models for drug policy have extended similar principles to sexual health (</w:t>
      </w:r>
      <w:hyperlink w:anchor="ref-andrea2022">
        <w:r w:rsidRPr="00FE6C8B">
          <w:rPr>
            <w:rStyle w:val="af"/>
            <w:rFonts w:ascii="Times New Roman" w:hAnsi="Times New Roman" w:cs="Times New Roman"/>
            <w:color w:val="auto"/>
          </w:rPr>
          <w:t>Lpez et al., 2022</w:t>
        </w:r>
      </w:hyperlink>
      <w:r w:rsidRPr="00FE6C8B">
        <w:rPr>
          <w:rFonts w:ascii="Times New Roman" w:hAnsi="Times New Roman" w:cs="Times New Roman"/>
        </w:rPr>
        <w:t xml:space="preserve">). These frameworks recognize that restrictive approaches may increase rather than </w:t>
      </w:r>
      <w:r w:rsidRPr="00FE6C8B">
        <w:rPr>
          <w:rFonts w:ascii="Times New Roman" w:hAnsi="Times New Roman" w:cs="Times New Roman"/>
        </w:rPr>
        <w:lastRenderedPageBreak/>
        <w:t>decrease health risks, emphasizing evidence-based interventions that reduce harm regardless of moral judgments about behavior (</w:t>
      </w:r>
      <w:hyperlink w:anchor="ref-bruce2021">
        <w:r w:rsidRPr="00FE6C8B">
          <w:rPr>
            <w:rStyle w:val="af"/>
            <w:rFonts w:ascii="Times New Roman" w:hAnsi="Times New Roman" w:cs="Times New Roman"/>
            <w:color w:val="auto"/>
          </w:rPr>
          <w:t>Wallace et al., 2021</w:t>
        </w:r>
      </w:hyperlink>
      <w:r w:rsidRPr="00FE6C8B">
        <w:rPr>
          <w:rFonts w:ascii="Times New Roman" w:hAnsi="Times New Roman" w:cs="Times New Roman"/>
        </w:rPr>
        <w:t>).</w:t>
      </w:r>
    </w:p>
    <w:p w14:paraId="0906048B"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9" w:name="X2d33f8196d8852f780ed4067ab5341c77348f54"/>
      <w:bookmarkEnd w:id="8"/>
      <w:r w:rsidRPr="00FE6C8B">
        <w:rPr>
          <w:rFonts w:ascii="Times New Roman" w:hAnsi="Times New Roman" w:cs="Times New Roman"/>
          <w:color w:val="auto"/>
          <w:sz w:val="24"/>
          <w:szCs w:val="24"/>
        </w:rPr>
        <w:t>2.3 Legal Restrictions and Public Health Outcomes: The Evidence</w:t>
      </w:r>
    </w:p>
    <w:p w14:paraId="46E8F155"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Systematic reviews examining the relationship between legal restrictions and sexual health outcomes provide compelling evidence. Platt and colleagues’ comprehensive analysis of sex work laws found that criminalization of activities related to sexual services and materials was “associated with extensive harms” to health, including “an urgent need for reform of sex-work-related laws and institutional practices so as to reduce barriers to the realisation of health” (</w:t>
      </w:r>
      <w:hyperlink w:anchor="ref-lucy2018">
        <w:r w:rsidRPr="00FE6C8B">
          <w:rPr>
            <w:rStyle w:val="af"/>
            <w:rFonts w:ascii="Times New Roman" w:hAnsi="Times New Roman" w:cs="Times New Roman"/>
            <w:color w:val="auto"/>
          </w:rPr>
          <w:t>Platt et al., 2018</w:t>
        </w:r>
      </w:hyperlink>
      <w:r w:rsidRPr="00FE6C8B">
        <w:rPr>
          <w:rFonts w:ascii="Times New Roman" w:hAnsi="Times New Roman" w:cs="Times New Roman"/>
        </w:rPr>
        <w:t>).</w:t>
      </w:r>
    </w:p>
    <w:p w14:paraId="717F237E"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Research on condom access policies demonstrates that legal and institutional barriers significantly impede HIV prevention efforts. Wanyenze and colleagues documented how structural and policy-level barriers, including inflexible facility-based distribution systems and policy constraints, hindered HIV service uptake among vulnerable populations in Uganda (</w:t>
      </w:r>
      <w:hyperlink w:anchor="ref-r2017">
        <w:r w:rsidRPr="00FE6C8B">
          <w:rPr>
            <w:rStyle w:val="af"/>
            <w:rFonts w:ascii="Times New Roman" w:hAnsi="Times New Roman" w:cs="Times New Roman"/>
            <w:color w:val="auto"/>
          </w:rPr>
          <w:t>Wanyenze et al., 2017</w:t>
        </w:r>
      </w:hyperlink>
      <w:r w:rsidRPr="00FE6C8B">
        <w:rPr>
          <w:rFonts w:ascii="Times New Roman" w:hAnsi="Times New Roman" w:cs="Times New Roman"/>
        </w:rPr>
        <w:t>). Similar findings emerge from Canadian research, where Anderson and colleagues found that “criminalization of in-call venues and third parties explicitly limits sex workers’ access to HIV/STI prevention, including manager restrictions on condoms and limited onsite access to sexual health information” (</w:t>
      </w:r>
      <w:hyperlink w:anchor="ref-solanna2016">
        <w:r w:rsidRPr="00FE6C8B">
          <w:rPr>
            <w:rStyle w:val="af"/>
            <w:rFonts w:ascii="Times New Roman" w:hAnsi="Times New Roman" w:cs="Times New Roman"/>
            <w:color w:val="auto"/>
          </w:rPr>
          <w:t>Anderson et al., 2016</w:t>
        </w:r>
      </w:hyperlink>
      <w:r w:rsidRPr="00FE6C8B">
        <w:rPr>
          <w:rFonts w:ascii="Times New Roman" w:hAnsi="Times New Roman" w:cs="Times New Roman"/>
        </w:rPr>
        <w:t>).</w:t>
      </w:r>
    </w:p>
    <w:p w14:paraId="35817BE8"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The evidence consistently indicates that legal restrictions on sexual health materials correlate with multiple adverse outcomes: reduced access to prevention resources, increased stigma, barriers to healthcare seeking, limited educational opportunities, and compromised public health intervention effectiveness. (See Figure 1)</w:t>
      </w:r>
    </w:p>
    <w:p w14:paraId="437B32BF" w14:textId="77777777" w:rsidR="009C71E2" w:rsidRPr="00FE6C8B" w:rsidRDefault="00000000" w:rsidP="00FE6C8B">
      <w:pPr>
        <w:pStyle w:val="2"/>
        <w:spacing w:line="360" w:lineRule="auto"/>
        <w:jc w:val="both"/>
        <w:rPr>
          <w:rFonts w:ascii="Times New Roman" w:hAnsi="Times New Roman" w:cs="Times New Roman"/>
          <w:color w:val="auto"/>
          <w:sz w:val="24"/>
          <w:szCs w:val="24"/>
        </w:rPr>
      </w:pPr>
      <w:bookmarkStart w:id="10" w:name="Xa7e3add2f810475506f0194e9ed3ef6066be872"/>
      <w:bookmarkEnd w:id="6"/>
      <w:bookmarkEnd w:id="9"/>
      <w:r w:rsidRPr="00FE6C8B">
        <w:rPr>
          <w:rFonts w:ascii="Times New Roman" w:hAnsi="Times New Roman" w:cs="Times New Roman"/>
          <w:b/>
          <w:bCs/>
          <w:color w:val="auto"/>
          <w:sz w:val="24"/>
          <w:szCs w:val="24"/>
        </w:rPr>
        <w:t>3. Public Health Implications of Restrictive Legal Frameworks</w:t>
      </w:r>
    </w:p>
    <w:p w14:paraId="68569D74"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11" w:name="Xa73d105d34853c11447f324c48a298c1a14c40b"/>
      <w:r w:rsidRPr="00FE6C8B">
        <w:rPr>
          <w:rFonts w:ascii="Times New Roman" w:hAnsi="Times New Roman" w:cs="Times New Roman"/>
          <w:color w:val="auto"/>
          <w:sz w:val="24"/>
          <w:szCs w:val="24"/>
        </w:rPr>
        <w:t>3.1 Barriers to Comprehensive Sexual Health Education</w:t>
      </w:r>
    </w:p>
    <w:p w14:paraId="5DE363B3"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Comprehensive sexuality education (CSE) represents a cornerstone of effective public health approaches to sexual and reproductive health. International evidence demonstrates that CSE programs significantly improve knowledge, increase safe-sex practices, and reduce risky behaviors (</w:t>
      </w:r>
      <w:hyperlink w:anchor="ref-v2023">
        <w:r w:rsidRPr="00FE6C8B">
          <w:rPr>
            <w:rStyle w:val="af"/>
            <w:rFonts w:ascii="Times New Roman" w:hAnsi="Times New Roman" w:cs="Times New Roman"/>
            <w:color w:val="auto"/>
          </w:rPr>
          <w:t>Mbarushimana et al., 2023</w:t>
        </w:r>
      </w:hyperlink>
      <w:r w:rsidRPr="00FE6C8B">
        <w:rPr>
          <w:rFonts w:ascii="Times New Roman" w:hAnsi="Times New Roman" w:cs="Times New Roman"/>
        </w:rPr>
        <w:t xml:space="preserve">). However, effective CSE requires </w:t>
      </w:r>
      <w:r w:rsidRPr="00FE6C8B">
        <w:rPr>
          <w:rFonts w:ascii="Times New Roman" w:hAnsi="Times New Roman" w:cs="Times New Roman"/>
        </w:rPr>
        <w:lastRenderedPageBreak/>
        <w:t>access to educational materials, including visual aids, demonstration products, and resources for teaching proper use of prevention methods (</w:t>
      </w:r>
      <w:hyperlink w:anchor="ref-walter2022">
        <w:r w:rsidRPr="00FE6C8B">
          <w:rPr>
            <w:rStyle w:val="af"/>
            <w:rFonts w:ascii="Times New Roman" w:hAnsi="Times New Roman" w:cs="Times New Roman"/>
            <w:color w:val="auto"/>
          </w:rPr>
          <w:t>Millanzi et al., 2022</w:t>
        </w:r>
      </w:hyperlink>
      <w:r w:rsidRPr="00FE6C8B">
        <w:rPr>
          <w:rFonts w:ascii="Times New Roman" w:hAnsi="Times New Roman" w:cs="Times New Roman"/>
        </w:rPr>
        <w:t>).</w:t>
      </w:r>
    </w:p>
    <w:p w14:paraId="7774ADD4"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Hong Kong’s current legal framework creates substantial barriers to implementing evidence-based CSE programs for adults. As documented in research on CSE implementation in Hong Kong, the city “lacks comprehensive school-based sexuality education,” with “recent public health concerns hav[ing] brought the inadequacies of sex education in Hong Kong to the forefront” (</w:t>
      </w:r>
      <w:hyperlink w:anchor="ref-e2021">
        <w:r w:rsidRPr="00FE6C8B">
          <w:rPr>
            <w:rStyle w:val="af"/>
            <w:rFonts w:ascii="Times New Roman" w:hAnsi="Times New Roman" w:cs="Times New Roman"/>
            <w:color w:val="auto"/>
          </w:rPr>
          <w:t>Andres et al., 2021</w:t>
        </w:r>
      </w:hyperlink>
      <w:r w:rsidRPr="00FE6C8B">
        <w:rPr>
          <w:rFonts w:ascii="Times New Roman" w:hAnsi="Times New Roman" w:cs="Times New Roman"/>
        </w:rPr>
        <w:t>). The legal classification of educational materials as “offensive weapons” exacerbates these challenges, creating legal uncertainty for educators and limiting the comprehensiveness of available programs.</w:t>
      </w:r>
    </w:p>
    <w:p w14:paraId="523D9C1F"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International research demonstrates that effective sexuality education requires addressing “both the biological aspects of STIs and the social and psychological implications of sexual activity” (</w:t>
      </w:r>
      <w:hyperlink w:anchor="ref-nancy2024">
        <w:r w:rsidRPr="00FE6C8B">
          <w:rPr>
            <w:rStyle w:val="af"/>
            <w:rFonts w:ascii="Times New Roman" w:hAnsi="Times New Roman" w:cs="Times New Roman"/>
            <w:color w:val="auto"/>
          </w:rPr>
          <w:t>Kuture et al., 2024</w:t>
        </w:r>
      </w:hyperlink>
      <w:r w:rsidRPr="00FE6C8B">
        <w:rPr>
          <w:rFonts w:ascii="Times New Roman" w:hAnsi="Times New Roman" w:cs="Times New Roman"/>
        </w:rPr>
        <w:t xml:space="preserve">). Problem-based pedagogical approaches show </w:t>
      </w:r>
      <w:proofErr w:type="gramStart"/>
      <w:r w:rsidRPr="00FE6C8B">
        <w:rPr>
          <w:rFonts w:ascii="Times New Roman" w:hAnsi="Times New Roman" w:cs="Times New Roman"/>
        </w:rPr>
        <w:t>particular promise</w:t>
      </w:r>
      <w:proofErr w:type="gramEnd"/>
      <w:r w:rsidRPr="00FE6C8B">
        <w:rPr>
          <w:rFonts w:ascii="Times New Roman" w:hAnsi="Times New Roman" w:cs="Times New Roman"/>
        </w:rPr>
        <w:t>, with research in Tanzania demonstrating that integrated reproductive health lessons using comprehensive materials significantly enhanced safe sexual behaviors compared to traditional lecture-based approaches (</w:t>
      </w:r>
      <w:hyperlink w:anchor="ref-walter2022">
        <w:r w:rsidRPr="00FE6C8B">
          <w:rPr>
            <w:rStyle w:val="af"/>
            <w:rFonts w:ascii="Times New Roman" w:hAnsi="Times New Roman" w:cs="Times New Roman"/>
            <w:color w:val="auto"/>
          </w:rPr>
          <w:t>Millanzi et al., 2022</w:t>
        </w:r>
      </w:hyperlink>
      <w:r w:rsidRPr="00FE6C8B">
        <w:rPr>
          <w:rFonts w:ascii="Times New Roman" w:hAnsi="Times New Roman" w:cs="Times New Roman"/>
        </w:rPr>
        <w:t>). The effectiveness of these approaches depends critically on access to appropriate educational resources, precisely what Hong Kong’s restrictive framework limits.</w:t>
      </w:r>
    </w:p>
    <w:p w14:paraId="209B1FB7"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12" w:name="X064e81d36ab8c6a0f7f4549d712e6f54af80e44"/>
      <w:bookmarkEnd w:id="11"/>
      <w:r w:rsidRPr="00FE6C8B">
        <w:rPr>
          <w:rFonts w:ascii="Times New Roman" w:hAnsi="Times New Roman" w:cs="Times New Roman"/>
          <w:color w:val="auto"/>
          <w:sz w:val="24"/>
          <w:szCs w:val="24"/>
        </w:rPr>
        <w:t>3.2 STI and HIV Prevention: Access to Safe-Sex Materials</w:t>
      </w:r>
    </w:p>
    <w:p w14:paraId="7A1C69C5"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Access to condoms and other barrier methods represents one of the most cost-effective STI and HIV prevention strategies available (</w:t>
      </w:r>
      <w:hyperlink w:anchor="ref-jeny2006">
        <w:r w:rsidRPr="00FE6C8B">
          <w:rPr>
            <w:rStyle w:val="af"/>
            <w:rFonts w:ascii="Times New Roman" w:hAnsi="Times New Roman" w:cs="Times New Roman"/>
            <w:color w:val="auto"/>
          </w:rPr>
          <w:t>Wegbreit et al., 2006</w:t>
        </w:r>
      </w:hyperlink>
      <w:r w:rsidRPr="00FE6C8B">
        <w:rPr>
          <w:rFonts w:ascii="Times New Roman" w:hAnsi="Times New Roman" w:cs="Times New Roman"/>
        </w:rPr>
        <w:t>). Systematic reviews consistently demonstrate that consistent condom use reduces HIV transmission risk by approximately 80-95% (</w:t>
      </w:r>
      <w:hyperlink w:anchor="ref-jeny2006">
        <w:r w:rsidRPr="00FE6C8B">
          <w:rPr>
            <w:rStyle w:val="af"/>
            <w:rFonts w:ascii="Times New Roman" w:hAnsi="Times New Roman" w:cs="Times New Roman"/>
            <w:color w:val="auto"/>
          </w:rPr>
          <w:t>Wegbreit et al., 2006</w:t>
        </w:r>
      </w:hyperlink>
      <w:r w:rsidRPr="00FE6C8B">
        <w:rPr>
          <w:rFonts w:ascii="Times New Roman" w:hAnsi="Times New Roman" w:cs="Times New Roman"/>
        </w:rPr>
        <w:t>). Beyond HIV, condoms provide substantial protection against bacterial STIs and other sexually transmitted infections (</w:t>
      </w:r>
      <w:hyperlink w:anchor="ref-matthew2013">
        <w:r w:rsidRPr="00FE6C8B">
          <w:rPr>
            <w:rStyle w:val="af"/>
            <w:rFonts w:ascii="Times New Roman" w:hAnsi="Times New Roman" w:cs="Times New Roman"/>
            <w:color w:val="auto"/>
          </w:rPr>
          <w:t>Chersich et al., 2013</w:t>
        </w:r>
      </w:hyperlink>
      <w:r w:rsidRPr="00FE6C8B">
        <w:rPr>
          <w:rFonts w:ascii="Times New Roman" w:hAnsi="Times New Roman" w:cs="Times New Roman"/>
        </w:rPr>
        <w:t>).</w:t>
      </w:r>
    </w:p>
    <w:p w14:paraId="2F12B6E9"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However, condom effectiveness depends not only on availability but also on proper use, which requires education and sometimes demonstration (</w:t>
      </w:r>
      <w:hyperlink w:anchor="ref-nancy2024">
        <w:r w:rsidRPr="00FE6C8B">
          <w:rPr>
            <w:rStyle w:val="af"/>
            <w:rFonts w:ascii="Times New Roman" w:hAnsi="Times New Roman" w:cs="Times New Roman"/>
            <w:color w:val="auto"/>
          </w:rPr>
          <w:t>Kuture et al., 2024</w:t>
        </w:r>
      </w:hyperlink>
      <w:r w:rsidRPr="00FE6C8B">
        <w:rPr>
          <w:rFonts w:ascii="Times New Roman" w:hAnsi="Times New Roman" w:cs="Times New Roman"/>
        </w:rPr>
        <w:t>). Research from multiple contexts demonstrates that knowledge about proper condom use, access to diverse prevention materials, and comprehensive education about sexual health correlate with increased consistent use (</w:t>
      </w:r>
      <w:hyperlink w:anchor="ref-s2012">
        <w:r w:rsidRPr="00FE6C8B">
          <w:rPr>
            <w:rStyle w:val="af"/>
            <w:rFonts w:ascii="Times New Roman" w:hAnsi="Times New Roman" w:cs="Times New Roman"/>
            <w:color w:val="auto"/>
          </w:rPr>
          <w:t>Geibel, 2012</w:t>
        </w:r>
      </w:hyperlink>
      <w:r w:rsidRPr="00FE6C8B">
        <w:rPr>
          <w:rFonts w:ascii="Times New Roman" w:hAnsi="Times New Roman" w:cs="Times New Roman"/>
        </w:rPr>
        <w:t xml:space="preserve">). Legal restrictions that limit access to </w:t>
      </w:r>
      <w:r w:rsidRPr="00FE6C8B">
        <w:rPr>
          <w:rFonts w:ascii="Times New Roman" w:hAnsi="Times New Roman" w:cs="Times New Roman"/>
        </w:rPr>
        <w:lastRenderedPageBreak/>
        <w:t>educational materials or create stigma around discussing sexual health demonstrably undermine these prevention efforts.</w:t>
      </w:r>
    </w:p>
    <w:p w14:paraId="7BFFC45C"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The public health literature documents multiple pathways through which legal restrictions impede prevention efforts. First, restrictions limit direct access to prevention materials, creating barriers for individuals seeking to protect themselves (</w:t>
      </w:r>
      <w:hyperlink w:anchor="ref-r2017">
        <w:r w:rsidRPr="00FE6C8B">
          <w:rPr>
            <w:rStyle w:val="af"/>
            <w:rFonts w:ascii="Times New Roman" w:hAnsi="Times New Roman" w:cs="Times New Roman"/>
            <w:color w:val="auto"/>
          </w:rPr>
          <w:t>Wanyenze et al., 2017</w:t>
        </w:r>
      </w:hyperlink>
      <w:r w:rsidRPr="00FE6C8B">
        <w:rPr>
          <w:rFonts w:ascii="Times New Roman" w:hAnsi="Times New Roman" w:cs="Times New Roman"/>
        </w:rPr>
        <w:t>). Second, legal frameworks create stigma that discourages healthcare seeking and open discussion of sexual health (</w:t>
      </w:r>
      <w:hyperlink w:anchor="ref-j2017">
        <w:r w:rsidRPr="00FE6C8B">
          <w:rPr>
            <w:rStyle w:val="af"/>
            <w:rFonts w:ascii="Times New Roman" w:hAnsi="Times New Roman" w:cs="Times New Roman"/>
            <w:color w:val="auto"/>
          </w:rPr>
          <w:t>Hunt et al., 2017</w:t>
        </w:r>
      </w:hyperlink>
      <w:r w:rsidRPr="00FE6C8B">
        <w:rPr>
          <w:rFonts w:ascii="Times New Roman" w:hAnsi="Times New Roman" w:cs="Times New Roman"/>
        </w:rPr>
        <w:t>). Third, restrictions hamper public health educators’ ability to provide comprehensive, evidence-based education (</w:t>
      </w:r>
      <w:hyperlink w:anchor="ref-solanna2016">
        <w:r w:rsidRPr="00FE6C8B">
          <w:rPr>
            <w:rStyle w:val="af"/>
            <w:rFonts w:ascii="Times New Roman" w:hAnsi="Times New Roman" w:cs="Times New Roman"/>
            <w:color w:val="auto"/>
          </w:rPr>
          <w:t>Anderson et al., 2016</w:t>
        </w:r>
      </w:hyperlink>
      <w:r w:rsidRPr="00FE6C8B">
        <w:rPr>
          <w:rFonts w:ascii="Times New Roman" w:hAnsi="Times New Roman" w:cs="Times New Roman"/>
        </w:rPr>
        <w:t>). Fourth, criminal frameworks divert resources from health-centered approaches to punitive enforcement (</w:t>
      </w:r>
      <w:hyperlink w:anchor="ref-lucy2018">
        <w:r w:rsidRPr="00FE6C8B">
          <w:rPr>
            <w:rStyle w:val="af"/>
            <w:rFonts w:ascii="Times New Roman" w:hAnsi="Times New Roman" w:cs="Times New Roman"/>
            <w:color w:val="auto"/>
          </w:rPr>
          <w:t>Platt et al., 2018</w:t>
        </w:r>
      </w:hyperlink>
      <w:r w:rsidRPr="00FE6C8B">
        <w:rPr>
          <w:rFonts w:ascii="Times New Roman" w:hAnsi="Times New Roman" w:cs="Times New Roman"/>
        </w:rPr>
        <w:t>).</w:t>
      </w:r>
    </w:p>
    <w:p w14:paraId="1E1CF4B6"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13" w:name="population-level-health-outcomes"/>
      <w:bookmarkEnd w:id="12"/>
      <w:r w:rsidRPr="00FE6C8B">
        <w:rPr>
          <w:rFonts w:ascii="Times New Roman" w:hAnsi="Times New Roman" w:cs="Times New Roman"/>
          <w:color w:val="auto"/>
          <w:sz w:val="24"/>
          <w:szCs w:val="24"/>
        </w:rPr>
        <w:t>3.3 Population-Level Health Outcomes</w:t>
      </w:r>
    </w:p>
    <w:p w14:paraId="57E4A42F"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Evidence from jurisdictions with varying legal approaches reveals significant differences in population-level sexual health outcomes. Countries adopting harm reduction and public health-centered frameworks demonstrate better STI control, lower HIV incidence, and improved access to sexual health services compared to those maintaining restrictive criminal approaches (</w:t>
      </w:r>
      <w:hyperlink w:anchor="ref-matthew2013">
        <w:r w:rsidRPr="00FE6C8B">
          <w:rPr>
            <w:rStyle w:val="af"/>
            <w:rFonts w:ascii="Times New Roman" w:hAnsi="Times New Roman" w:cs="Times New Roman"/>
            <w:color w:val="auto"/>
          </w:rPr>
          <w:t>Chersich et al., 2013</w:t>
        </w:r>
      </w:hyperlink>
      <w:r w:rsidRPr="00FE6C8B">
        <w:rPr>
          <w:rFonts w:ascii="Times New Roman" w:hAnsi="Times New Roman" w:cs="Times New Roman"/>
        </w:rPr>
        <w:t>). Thailand’s experience with comprehensive HIV prevention, including widespread condom promotion and access to diverse prevention materials, demonstrates the population-level benefits of public health-centered policies (</w:t>
      </w:r>
      <w:hyperlink w:anchor="ref-carlos2002">
        <w:r w:rsidRPr="00FE6C8B">
          <w:rPr>
            <w:rStyle w:val="af"/>
            <w:rFonts w:ascii="Times New Roman" w:hAnsi="Times New Roman" w:cs="Times New Roman"/>
            <w:color w:val="auto"/>
          </w:rPr>
          <w:t>Ro &amp; Seplveda, 2002</w:t>
        </w:r>
      </w:hyperlink>
      <w:r w:rsidRPr="00FE6C8B">
        <w:rPr>
          <w:rFonts w:ascii="Times New Roman" w:hAnsi="Times New Roman" w:cs="Times New Roman"/>
        </w:rPr>
        <w:t>).</w:t>
      </w:r>
    </w:p>
    <w:p w14:paraId="797B9682"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Conversely, research documents adverse population outcomes in contexts with restrictive approaches. Studies examining the impact of criminalization consistently find associations with increased HIV/STI transmission, reduced healthcare access, heightened violence, and worse overall health outcomes (</w:t>
      </w:r>
      <w:hyperlink w:anchor="ref-lucy2018">
        <w:r w:rsidRPr="00FE6C8B">
          <w:rPr>
            <w:rStyle w:val="af"/>
            <w:rFonts w:ascii="Times New Roman" w:hAnsi="Times New Roman" w:cs="Times New Roman"/>
            <w:color w:val="auto"/>
          </w:rPr>
          <w:t>Platt et al., 2018</w:t>
        </w:r>
      </w:hyperlink>
      <w:r w:rsidRPr="00FE6C8B">
        <w:rPr>
          <w:rFonts w:ascii="Times New Roman" w:hAnsi="Times New Roman" w:cs="Times New Roman"/>
        </w:rPr>
        <w:t>). The mechanisms linking restrictive policies to adverse outcomes include reduced prevention material access, decreased healthcare-seeking behavior due to stigma and fear, limited educational opportunities, and resource diversion from health services to enforcement.</w:t>
      </w:r>
    </w:p>
    <w:p w14:paraId="1549E799"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14" w:name="Xdd18abf3b24495ee5fa98d5e4a7f49309409a5b"/>
      <w:bookmarkEnd w:id="13"/>
      <w:r w:rsidRPr="00FE6C8B">
        <w:rPr>
          <w:rFonts w:ascii="Times New Roman" w:hAnsi="Times New Roman" w:cs="Times New Roman"/>
          <w:color w:val="auto"/>
          <w:sz w:val="24"/>
          <w:szCs w:val="24"/>
        </w:rPr>
        <w:t>3.4 Mental Health, Stigma, and Quality of Life Considerations</w:t>
      </w:r>
    </w:p>
    <w:p w14:paraId="4F46A17D"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 xml:space="preserve">Sexual health encompasses psychological and social dimensions beyond disease prevention. Research demonstrates that restrictive legal approaches contribute to stigma, </w:t>
      </w:r>
      <w:r w:rsidRPr="00FE6C8B">
        <w:rPr>
          <w:rFonts w:ascii="Times New Roman" w:hAnsi="Times New Roman" w:cs="Times New Roman"/>
        </w:rPr>
        <w:lastRenderedPageBreak/>
        <w:t>shame, and psychological distress related to sexual health (</w:t>
      </w:r>
      <w:hyperlink w:anchor="ref-j2017">
        <w:r w:rsidRPr="00FE6C8B">
          <w:rPr>
            <w:rStyle w:val="af"/>
            <w:rFonts w:ascii="Times New Roman" w:hAnsi="Times New Roman" w:cs="Times New Roman"/>
            <w:color w:val="auto"/>
          </w:rPr>
          <w:t>Hunt et al., 2017</w:t>
        </w:r>
      </w:hyperlink>
      <w:r w:rsidRPr="00FE6C8B">
        <w:rPr>
          <w:rFonts w:ascii="Times New Roman" w:hAnsi="Times New Roman" w:cs="Times New Roman"/>
        </w:rPr>
        <w:t>). The criminalization of materials used for legitimate health, wellness, and relationship purposes creates unnecessary barriers to wellbeing and quality of life.</w:t>
      </w:r>
    </w:p>
    <w:p w14:paraId="63AE0822"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Hunt and colleagues’ research examining healthcare experiences of marginalized populations in Zimbabwe documented how “discrimination towards key populations discourages early diagnosis, limits access to healthcare/treatment and increases risk of transmission of infectious diseases” (</w:t>
      </w:r>
      <w:hyperlink w:anchor="ref-j2017">
        <w:r w:rsidRPr="00FE6C8B">
          <w:rPr>
            <w:rStyle w:val="af"/>
            <w:rFonts w:ascii="Times New Roman" w:hAnsi="Times New Roman" w:cs="Times New Roman"/>
            <w:color w:val="auto"/>
          </w:rPr>
          <w:t>Hunt et al., 2017</w:t>
        </w:r>
      </w:hyperlink>
      <w:r w:rsidRPr="00FE6C8B">
        <w:rPr>
          <w:rFonts w:ascii="Times New Roman" w:hAnsi="Times New Roman" w:cs="Times New Roman"/>
        </w:rPr>
        <w:t>). While this research examined specific populations, the underlying mechanisms—stigma, fear of judgment, barriers to care—apply broadly to contexts where legal frameworks criminalize aspects of sexual health and wellness.</w:t>
      </w:r>
    </w:p>
    <w:p w14:paraId="267AE462"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Mental health considerations extend beyond individual psychological impacts to encompass broader social determinants of health. Restrictive legal frameworks reinforce stigma, limit open discussion of sexual health, and create barriers to individuals seeking support, education, and healthcare (</w:t>
      </w:r>
      <w:hyperlink w:anchor="ref-james2024">
        <w:r w:rsidRPr="00FE6C8B">
          <w:rPr>
            <w:rStyle w:val="af"/>
            <w:rFonts w:ascii="Times New Roman" w:hAnsi="Times New Roman" w:cs="Times New Roman"/>
            <w:color w:val="auto"/>
          </w:rPr>
          <w:t>Kirkbride et al., 2024</w:t>
        </w:r>
      </w:hyperlink>
      <w:r w:rsidRPr="00FE6C8B">
        <w:rPr>
          <w:rFonts w:ascii="Times New Roman" w:hAnsi="Times New Roman" w:cs="Times New Roman"/>
        </w:rPr>
        <w:t>). These effects disproportionately impact already marginalized populations, potentially exacerbating existing health inequities (</w:t>
      </w:r>
      <w:hyperlink w:anchor="ref-ten2015">
        <w:r w:rsidRPr="00FE6C8B">
          <w:rPr>
            <w:rStyle w:val="af"/>
            <w:rFonts w:ascii="Times New Roman" w:hAnsi="Times New Roman" w:cs="Times New Roman"/>
            <w:color w:val="auto"/>
          </w:rPr>
          <w:t>Lewis et al., 2015</w:t>
        </w:r>
      </w:hyperlink>
      <w:r w:rsidRPr="00FE6C8B">
        <w:rPr>
          <w:rFonts w:ascii="Times New Roman" w:hAnsi="Times New Roman" w:cs="Times New Roman"/>
        </w:rPr>
        <w:t>).</w:t>
      </w:r>
    </w:p>
    <w:p w14:paraId="539849E2" w14:textId="77777777" w:rsidR="009C71E2" w:rsidRPr="00FE6C8B" w:rsidRDefault="00000000" w:rsidP="00FE6C8B">
      <w:pPr>
        <w:pStyle w:val="2"/>
        <w:spacing w:line="360" w:lineRule="auto"/>
        <w:jc w:val="both"/>
        <w:rPr>
          <w:rFonts w:ascii="Times New Roman" w:hAnsi="Times New Roman" w:cs="Times New Roman"/>
          <w:color w:val="auto"/>
          <w:sz w:val="24"/>
          <w:szCs w:val="24"/>
        </w:rPr>
      </w:pPr>
      <w:bookmarkStart w:id="15" w:name="Xe518f7b2cac5010b18e95d602b121efa0a9eb78"/>
      <w:bookmarkEnd w:id="10"/>
      <w:bookmarkEnd w:id="14"/>
      <w:r w:rsidRPr="00FE6C8B">
        <w:rPr>
          <w:rFonts w:ascii="Times New Roman" w:hAnsi="Times New Roman" w:cs="Times New Roman"/>
          <w:b/>
          <w:bCs/>
          <w:color w:val="auto"/>
          <w:sz w:val="24"/>
          <w:szCs w:val="24"/>
        </w:rPr>
        <w:t>4. Evidence from International Best Practices</w:t>
      </w:r>
    </w:p>
    <w:p w14:paraId="14574B7B"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16" w:name="X5de06237d2fef8e52244df70cb03c8300013b3c"/>
      <w:r w:rsidRPr="00FE6C8B">
        <w:rPr>
          <w:rFonts w:ascii="Times New Roman" w:hAnsi="Times New Roman" w:cs="Times New Roman"/>
          <w:color w:val="auto"/>
          <w:sz w:val="24"/>
          <w:szCs w:val="24"/>
        </w:rPr>
        <w:t>4.1 Successful Public Health-Centered Policy Models</w:t>
      </w:r>
    </w:p>
    <w:p w14:paraId="73F76221"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International experience provides numerous examples of jurisdictions successfully integrating sexual health materials into comprehensive public health frameworks. These models demonstrate that legal reform can maintain appropriate regulatory oversight while advancing public health objectives and respecting individual autonomy.</w:t>
      </w:r>
    </w:p>
    <w:p w14:paraId="747C91E2"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b/>
          <w:bCs/>
        </w:rPr>
        <w:t>The Netherlands Model: Integration and Normalization</w:t>
      </w:r>
      <w:r w:rsidRPr="00FE6C8B">
        <w:rPr>
          <w:rFonts w:ascii="Times New Roman" w:hAnsi="Times New Roman" w:cs="Times New Roman"/>
        </w:rPr>
        <w:t xml:space="preserve"> </w:t>
      </w:r>
      <w:proofErr w:type="gramStart"/>
      <w:r w:rsidRPr="00FE6C8B">
        <w:rPr>
          <w:rFonts w:ascii="Times New Roman" w:hAnsi="Times New Roman" w:cs="Times New Roman"/>
        </w:rPr>
        <w:t>The</w:t>
      </w:r>
      <w:proofErr w:type="gramEnd"/>
      <w:r w:rsidRPr="00FE6C8B">
        <w:rPr>
          <w:rFonts w:ascii="Times New Roman" w:hAnsi="Times New Roman" w:cs="Times New Roman"/>
        </w:rPr>
        <w:t xml:space="preserve"> Netherlands’ approach integrates sexual wellness products into broader consumer safety and public health frameworks. This model treats intimate products as legitimate consumer goods subject to safety standards while maintaining robust public health education programs. Research documents that this approach correlates with excellent sexual health outcomes, including low STI rates, comprehensive sex education, and high contraceptive use (</w:t>
      </w:r>
      <w:hyperlink w:anchor="ref-rehana2016">
        <w:r w:rsidRPr="00FE6C8B">
          <w:rPr>
            <w:rStyle w:val="af"/>
            <w:rFonts w:ascii="Times New Roman" w:hAnsi="Times New Roman" w:cs="Times New Roman"/>
            <w:color w:val="auto"/>
          </w:rPr>
          <w:t>Salam et al., 2016</w:t>
        </w:r>
      </w:hyperlink>
      <w:r w:rsidRPr="00FE6C8B">
        <w:rPr>
          <w:rFonts w:ascii="Times New Roman" w:hAnsi="Times New Roman" w:cs="Times New Roman"/>
        </w:rPr>
        <w:t>).</w:t>
      </w:r>
    </w:p>
    <w:p w14:paraId="69F57BB7"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b/>
          <w:bCs/>
        </w:rPr>
        <w:lastRenderedPageBreak/>
        <w:t>Scandinavian Approaches: Rights-Based Frameworks</w:t>
      </w:r>
      <w:r w:rsidRPr="00FE6C8B">
        <w:rPr>
          <w:rFonts w:ascii="Times New Roman" w:hAnsi="Times New Roman" w:cs="Times New Roman"/>
        </w:rPr>
        <w:t xml:space="preserve"> Scandinavian countries adopt rights-based approaches recognizing sexual health as a fundamental human right. These frameworks emphasize comprehensive education, universal healthcare access including sexual health services, and evidence-based harm reduction strategies. Public health data demonstrate strong outcomes, including low teen pregnancy rates, effective STI control, and high satisfaction with sexual health services.</w:t>
      </w:r>
    </w:p>
    <w:p w14:paraId="09981BFC"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b/>
          <w:bCs/>
        </w:rPr>
        <w:t>Thailand’s Targeted Prevention Programs</w:t>
      </w:r>
      <w:r w:rsidRPr="00FE6C8B">
        <w:rPr>
          <w:rFonts w:ascii="Times New Roman" w:hAnsi="Times New Roman" w:cs="Times New Roman"/>
        </w:rPr>
        <w:t xml:space="preserve"> Thailand’s response to HIV/AIDS, including the “100% condom program” and widespread access to prevention materials, demonstrates effective public health intervention at scale (</w:t>
      </w:r>
      <w:hyperlink w:anchor="ref-carlos2002">
        <w:r w:rsidRPr="00FE6C8B">
          <w:rPr>
            <w:rStyle w:val="af"/>
            <w:rFonts w:ascii="Times New Roman" w:hAnsi="Times New Roman" w:cs="Times New Roman"/>
            <w:color w:val="auto"/>
          </w:rPr>
          <w:t>Ro &amp; Seplveda, 2002</w:t>
        </w:r>
      </w:hyperlink>
      <w:r w:rsidRPr="00FE6C8B">
        <w:rPr>
          <w:rFonts w:ascii="Times New Roman" w:hAnsi="Times New Roman" w:cs="Times New Roman"/>
        </w:rPr>
        <w:t>). While Thailand’s approach has faced criticism regarding certain implementation aspects, the overall framework illustrates how comprehensive access to prevention materials can be integrated into national public health strategies with measurable population-level benefits.</w:t>
      </w:r>
    </w:p>
    <w:p w14:paraId="2B7659BB"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17" w:name="X9aa4ccf5d02abdd40fe88bb2028b8421d3af1b9"/>
      <w:bookmarkEnd w:id="16"/>
      <w:r w:rsidRPr="00FE6C8B">
        <w:rPr>
          <w:rFonts w:ascii="Times New Roman" w:hAnsi="Times New Roman" w:cs="Times New Roman"/>
          <w:color w:val="auto"/>
          <w:sz w:val="24"/>
          <w:szCs w:val="24"/>
        </w:rPr>
        <w:t>4.2 Harm Reduction Principles Applied to Sexual Health</w:t>
      </w:r>
    </w:p>
    <w:p w14:paraId="765D23D6"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Harm reduction frameworks, initially developed for substance use, provide valuable insights for sexual health policy (</w:t>
      </w:r>
      <w:hyperlink w:anchor="ref-andrea2022">
        <w:r w:rsidRPr="00FE6C8B">
          <w:rPr>
            <w:rStyle w:val="af"/>
            <w:rFonts w:ascii="Times New Roman" w:hAnsi="Times New Roman" w:cs="Times New Roman"/>
            <w:color w:val="auto"/>
          </w:rPr>
          <w:t>Lpez et al., 2022</w:t>
        </w:r>
      </w:hyperlink>
      <w:r w:rsidRPr="00FE6C8B">
        <w:rPr>
          <w:rFonts w:ascii="Times New Roman" w:hAnsi="Times New Roman" w:cs="Times New Roman"/>
        </w:rPr>
        <w:t>). Core harm reduction principles include: meeting people where they are without judgment; providing evidence-based interventions that reduce harm regardless of moral positions on behavior; prioritizing immediate harm reduction over long-term behavior change; and emphasizing human dignity and rights (</w:t>
      </w:r>
      <w:hyperlink w:anchor="ref-bruce2021">
        <w:r w:rsidRPr="00FE6C8B">
          <w:rPr>
            <w:rStyle w:val="af"/>
            <w:rFonts w:ascii="Times New Roman" w:hAnsi="Times New Roman" w:cs="Times New Roman"/>
            <w:color w:val="auto"/>
          </w:rPr>
          <w:t>Wallace et al., 2021</w:t>
        </w:r>
      </w:hyperlink>
      <w:r w:rsidRPr="00FE6C8B">
        <w:rPr>
          <w:rFonts w:ascii="Times New Roman" w:hAnsi="Times New Roman" w:cs="Times New Roman"/>
        </w:rPr>
        <w:t>).</w:t>
      </w:r>
    </w:p>
    <w:p w14:paraId="6E34BED4"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Application of harm reduction principles to sexual health recognizes several realities. First, adults will engage in sexual behavior regardless of legal frameworks or moral judgments. Second, the public health goal should focus on ensuring such behavior is as safe as possible rather than preventing it entirely. Third, access to prevention materials, education, and healthcare services reduces harm more effectively than punitive approaches. Fourth, stigma and criminalization increase rather than decrease health risks (</w:t>
      </w:r>
      <w:hyperlink w:anchor="ref-andrea2022">
        <w:r w:rsidRPr="00FE6C8B">
          <w:rPr>
            <w:rStyle w:val="af"/>
            <w:rFonts w:ascii="Times New Roman" w:hAnsi="Times New Roman" w:cs="Times New Roman"/>
            <w:color w:val="auto"/>
          </w:rPr>
          <w:t>Lpez et al., 2022</w:t>
        </w:r>
      </w:hyperlink>
      <w:r w:rsidRPr="00FE6C8B">
        <w:rPr>
          <w:rFonts w:ascii="Times New Roman" w:hAnsi="Times New Roman" w:cs="Times New Roman"/>
        </w:rPr>
        <w:t>).</w:t>
      </w:r>
    </w:p>
    <w:p w14:paraId="7889AF0B"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 xml:space="preserve">Wallace and colleagues’ research on drug checking programs illustrates how harm reduction approaches can inform broader health policy: “Drug checking requires a universal approach to meet the needs of diverse populations and must not be focused on </w:t>
      </w:r>
      <w:r w:rsidRPr="00FE6C8B">
        <w:rPr>
          <w:rFonts w:ascii="Times New Roman" w:hAnsi="Times New Roman" w:cs="Times New Roman"/>
        </w:rPr>
        <w:lastRenderedPageBreak/>
        <w:t>abstinence-based outcomes” (</w:t>
      </w:r>
      <w:hyperlink w:anchor="ref-bruce2021">
        <w:r w:rsidRPr="00FE6C8B">
          <w:rPr>
            <w:rStyle w:val="af"/>
            <w:rFonts w:ascii="Times New Roman" w:hAnsi="Times New Roman" w:cs="Times New Roman"/>
            <w:color w:val="auto"/>
          </w:rPr>
          <w:t>Wallace et al., 2021</w:t>
        </w:r>
      </w:hyperlink>
      <w:r w:rsidRPr="00FE6C8B">
        <w:rPr>
          <w:rFonts w:ascii="Times New Roman" w:hAnsi="Times New Roman" w:cs="Times New Roman"/>
        </w:rPr>
        <w:t>). Similarly, sexual health approaches must accommodate diverse behaviors, preferences, and needs while focusing on harm reduction rather than behavior elimination.</w:t>
      </w:r>
    </w:p>
    <w:p w14:paraId="550D25B7"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18" w:name="Xa4680acd5ab5e70051fc2972a4311e885ff8216"/>
      <w:bookmarkEnd w:id="17"/>
      <w:r w:rsidRPr="00FE6C8B">
        <w:rPr>
          <w:rFonts w:ascii="Times New Roman" w:hAnsi="Times New Roman" w:cs="Times New Roman"/>
          <w:color w:val="auto"/>
          <w:sz w:val="24"/>
          <w:szCs w:val="24"/>
        </w:rPr>
        <w:t>4.3 Cost-Effectiveness of Comprehensive Approaches</w:t>
      </w:r>
    </w:p>
    <w:p w14:paraId="746CCCE5"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Economic analyses consistently demonstrate that comprehensive sexual health approaches yield substantial returns on investment. Vassall and colleagues’ evaluation of community mobilization and empowerment interventions for HIV prevention found these approaches “highly cost-effective and, at best, a cost-saving investment from an HIV programme perspective” (</w:t>
      </w:r>
      <w:hyperlink w:anchor="ref-a2014">
        <w:r w:rsidRPr="00FE6C8B">
          <w:rPr>
            <w:rStyle w:val="af"/>
            <w:rFonts w:ascii="Times New Roman" w:hAnsi="Times New Roman" w:cs="Times New Roman"/>
            <w:color w:val="auto"/>
          </w:rPr>
          <w:t>Vassall et al., 2014</w:t>
        </w:r>
      </w:hyperlink>
      <w:r w:rsidRPr="00FE6C8B">
        <w:rPr>
          <w:rFonts w:ascii="Times New Roman" w:hAnsi="Times New Roman" w:cs="Times New Roman"/>
        </w:rPr>
        <w:t>). The cost-effectiveness stems from multiple factors: prevention averts expensive treatment costs; comprehensive education reaches large populations efficiently; and removing legal barriers reduces enforcement costs while improving health outcomes.</w:t>
      </w:r>
    </w:p>
    <w:p w14:paraId="0CFD7138"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Research on condom distribution and access demonstrates exceptional cost-effectiveness. Choi and colleagues’ economic analysis of HPV vaccination in Hong Kong, while focused on vaccination rather than barrier methods, illustrates the broader principle that prevention investments yield substantial economic returns (</w:t>
      </w:r>
      <w:hyperlink w:anchor="ref-h2018">
        <w:r w:rsidRPr="00FE6C8B">
          <w:rPr>
            <w:rStyle w:val="af"/>
            <w:rFonts w:ascii="Times New Roman" w:hAnsi="Times New Roman" w:cs="Times New Roman"/>
            <w:color w:val="auto"/>
          </w:rPr>
          <w:t>Choi et al., 2018</w:t>
        </w:r>
      </w:hyperlink>
      <w:r w:rsidRPr="00FE6C8B">
        <w:rPr>
          <w:rFonts w:ascii="Times New Roman" w:hAnsi="Times New Roman" w:cs="Times New Roman"/>
        </w:rPr>
        <w:t>). Similarly, comprehensive analyses of HIV prevention strategies consistently find that condom promotion and access represent among the most cost-effective interventions available (</w:t>
      </w:r>
      <w:hyperlink w:anchor="ref-jeny2006">
        <w:r w:rsidRPr="00FE6C8B">
          <w:rPr>
            <w:rStyle w:val="af"/>
            <w:rFonts w:ascii="Times New Roman" w:hAnsi="Times New Roman" w:cs="Times New Roman"/>
            <w:color w:val="auto"/>
          </w:rPr>
          <w:t>Wegbreit et al., 2006</w:t>
        </w:r>
      </w:hyperlink>
      <w:r w:rsidRPr="00FE6C8B">
        <w:rPr>
          <w:rFonts w:ascii="Times New Roman" w:hAnsi="Times New Roman" w:cs="Times New Roman"/>
        </w:rPr>
        <w:t>).</w:t>
      </w:r>
    </w:p>
    <w:p w14:paraId="71ED26EA"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The economic case for reform extends beyond direct health costs to encompass broader societal benefits. Improved sexual health correlates with better mental health, enhanced quality of life, reduced stigma and discrimination, and more equitable access to health services (</w:t>
      </w:r>
      <w:hyperlink w:anchor="ref-james2024">
        <w:r w:rsidRPr="00FE6C8B">
          <w:rPr>
            <w:rStyle w:val="af"/>
            <w:rFonts w:ascii="Times New Roman" w:hAnsi="Times New Roman" w:cs="Times New Roman"/>
            <w:color w:val="auto"/>
          </w:rPr>
          <w:t>Kirkbride et al., 2024</w:t>
        </w:r>
      </w:hyperlink>
      <w:r w:rsidRPr="00FE6C8B">
        <w:rPr>
          <w:rFonts w:ascii="Times New Roman" w:hAnsi="Times New Roman" w:cs="Times New Roman"/>
        </w:rPr>
        <w:t>). These broader benefits, while sometimes challenging to quantify, represent substantial social value that economic analyses should consider.</w:t>
      </w:r>
    </w:p>
    <w:p w14:paraId="31FADA57" w14:textId="77777777" w:rsidR="009C71E2" w:rsidRPr="00FE6C8B" w:rsidRDefault="00000000" w:rsidP="00FE6C8B">
      <w:pPr>
        <w:pStyle w:val="2"/>
        <w:spacing w:line="360" w:lineRule="auto"/>
        <w:jc w:val="both"/>
        <w:rPr>
          <w:rFonts w:ascii="Times New Roman" w:hAnsi="Times New Roman" w:cs="Times New Roman"/>
          <w:color w:val="auto"/>
          <w:sz w:val="24"/>
          <w:szCs w:val="24"/>
        </w:rPr>
      </w:pPr>
      <w:bookmarkStart w:id="19" w:name="X19a0ec3e56873dd3cbc290accd3dabe5d24deb3"/>
      <w:bookmarkEnd w:id="15"/>
      <w:bookmarkEnd w:id="18"/>
      <w:r w:rsidRPr="00FE6C8B">
        <w:rPr>
          <w:rFonts w:ascii="Times New Roman" w:hAnsi="Times New Roman" w:cs="Times New Roman"/>
          <w:b/>
          <w:bCs/>
          <w:color w:val="auto"/>
          <w:sz w:val="24"/>
          <w:szCs w:val="24"/>
        </w:rPr>
        <w:t>5. Stakeholder Perspectives and Social Considerations</w:t>
      </w:r>
    </w:p>
    <w:p w14:paraId="7F9714D7"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20" w:name="public-health-professional-perspectives"/>
      <w:r w:rsidRPr="00FE6C8B">
        <w:rPr>
          <w:rFonts w:ascii="Times New Roman" w:hAnsi="Times New Roman" w:cs="Times New Roman"/>
          <w:color w:val="auto"/>
          <w:sz w:val="24"/>
          <w:szCs w:val="24"/>
        </w:rPr>
        <w:t>5.1 Public Health Professional Perspectives</w:t>
      </w:r>
    </w:p>
    <w:p w14:paraId="6207891E"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 xml:space="preserve">Public health professionals consistently advocate for evidence-based approaches to sexual health that prioritize harm reduction, comprehensive education, and accessible </w:t>
      </w:r>
      <w:r w:rsidRPr="00FE6C8B">
        <w:rPr>
          <w:rFonts w:ascii="Times New Roman" w:hAnsi="Times New Roman" w:cs="Times New Roman"/>
        </w:rPr>
        <w:lastRenderedPageBreak/>
        <w:t>prevention resources. Research examining healthcare provider perspectives reveals broad support for removing legal barriers that impede effective prevention and education efforts (</w:t>
      </w:r>
      <w:hyperlink w:anchor="ref-r2017">
        <w:r w:rsidRPr="00FE6C8B">
          <w:rPr>
            <w:rStyle w:val="af"/>
            <w:rFonts w:ascii="Times New Roman" w:hAnsi="Times New Roman" w:cs="Times New Roman"/>
            <w:color w:val="auto"/>
          </w:rPr>
          <w:t>Wanyenze et al., 2017</w:t>
        </w:r>
      </w:hyperlink>
      <w:r w:rsidRPr="00FE6C8B">
        <w:rPr>
          <w:rFonts w:ascii="Times New Roman" w:hAnsi="Times New Roman" w:cs="Times New Roman"/>
        </w:rPr>
        <w:t>).</w:t>
      </w:r>
    </w:p>
    <w:p w14:paraId="56243E68"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Greenwood and Wilkinson’s analysis of sexual and reproductive healthcare for women with intellectual disabilities, while addressing a specific population, articulates principles applicable broadly: healthcare provision requires “a rights-based framework” that recognizes individuals’ autonomy while ensuring access to necessary support, education, and resources (</w:t>
      </w:r>
      <w:hyperlink w:anchor="ref-n2013">
        <w:r w:rsidRPr="00FE6C8B">
          <w:rPr>
            <w:rStyle w:val="af"/>
            <w:rFonts w:ascii="Times New Roman" w:hAnsi="Times New Roman" w:cs="Times New Roman"/>
            <w:color w:val="auto"/>
          </w:rPr>
          <w:t>Greenwood &amp; Wilkinson, 2013</w:t>
        </w:r>
      </w:hyperlink>
      <w:r w:rsidRPr="00FE6C8B">
        <w:rPr>
          <w:rFonts w:ascii="Times New Roman" w:hAnsi="Times New Roman" w:cs="Times New Roman"/>
        </w:rPr>
        <w:t>). Legal frameworks that criminalize educational materials or prevention resources fundamentally undermine these principles.</w:t>
      </w:r>
    </w:p>
    <w:p w14:paraId="477AF4F2"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Healthcare providers identify multiple challenges created by restrictive legal frameworks. First, legal uncertainty about what materials can be used for education creates ambiguity that may discourage comprehensive teaching (</w:t>
      </w:r>
      <w:hyperlink w:anchor="ref-solanna2016">
        <w:r w:rsidRPr="00FE6C8B">
          <w:rPr>
            <w:rStyle w:val="af"/>
            <w:rFonts w:ascii="Times New Roman" w:hAnsi="Times New Roman" w:cs="Times New Roman"/>
            <w:color w:val="auto"/>
          </w:rPr>
          <w:t>Anderson et al., 2016</w:t>
        </w:r>
      </w:hyperlink>
      <w:r w:rsidRPr="00FE6C8B">
        <w:rPr>
          <w:rFonts w:ascii="Times New Roman" w:hAnsi="Times New Roman" w:cs="Times New Roman"/>
        </w:rPr>
        <w:t>). Second, stigma associated with criminalized items extends to clinical encounters, potentially discouraging patients from seeking sexual health services. Third, restrictions limit the comprehensiveness of available prevention options, reducing providers’ ability to tailor recommendations to individual needs and circumstances.</w:t>
      </w:r>
    </w:p>
    <w:p w14:paraId="5313C799"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21" w:name="Xfcee214113f3ef600f290338b4d7f6c32c52c77"/>
      <w:bookmarkEnd w:id="20"/>
      <w:r w:rsidRPr="00FE6C8B">
        <w:rPr>
          <w:rFonts w:ascii="Times New Roman" w:hAnsi="Times New Roman" w:cs="Times New Roman"/>
          <w:color w:val="auto"/>
          <w:sz w:val="24"/>
          <w:szCs w:val="24"/>
        </w:rPr>
        <w:t>5.2 Cultural and Social Considerations in the Hong Kong Context</w:t>
      </w:r>
    </w:p>
    <w:p w14:paraId="38DD10B3"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Reform recommendations must account for Hong Kong’s unique cultural, social, and political context. Research documents that sexual health remains a culturally sensitive topic in Hong Kong, with various stakeholders holding diverse perspectives on appropriate approaches (</w:t>
      </w:r>
      <w:hyperlink w:anchor="ref-wai2013">
        <w:r w:rsidRPr="00FE6C8B">
          <w:rPr>
            <w:rStyle w:val="af"/>
            <w:rFonts w:ascii="Times New Roman" w:hAnsi="Times New Roman" w:cs="Times New Roman"/>
            <w:color w:val="auto"/>
          </w:rPr>
          <w:t>Wong, 2013</w:t>
        </w:r>
      </w:hyperlink>
      <w:r w:rsidRPr="00FE6C8B">
        <w:rPr>
          <w:rFonts w:ascii="Times New Roman" w:hAnsi="Times New Roman" w:cs="Times New Roman"/>
        </w:rPr>
        <w:t>). However, cultural sensitivity need not preclude evidence-based public health policy; rather, it requires thoughtful implementation that respects local contexts while advancing health objectives.</w:t>
      </w:r>
    </w:p>
    <w:p w14:paraId="13D66DE2"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Wong’s analysis of sexual morality politics in Hong Kong illustrates the complex interplay of religious, cultural, and political factors shaping sexual health discourse (</w:t>
      </w:r>
      <w:hyperlink w:anchor="ref-wai2013">
        <w:r w:rsidRPr="00FE6C8B">
          <w:rPr>
            <w:rStyle w:val="af"/>
            <w:rFonts w:ascii="Times New Roman" w:hAnsi="Times New Roman" w:cs="Times New Roman"/>
            <w:color w:val="auto"/>
          </w:rPr>
          <w:t>Wong, 2013</w:t>
        </w:r>
      </w:hyperlink>
      <w:r w:rsidRPr="00FE6C8B">
        <w:rPr>
          <w:rFonts w:ascii="Times New Roman" w:hAnsi="Times New Roman" w:cs="Times New Roman"/>
        </w:rPr>
        <w:t xml:space="preserve">). Reform efforts must engage these dynamics thoughtfully, recognizing legitimate concerns while demonstrating how evidence-based approaches can accommodate cultural values. International experience shows that comprehensive sexual health education and access to prevention materials can be implemented in diverse </w:t>
      </w:r>
      <w:r w:rsidRPr="00FE6C8B">
        <w:rPr>
          <w:rFonts w:ascii="Times New Roman" w:hAnsi="Times New Roman" w:cs="Times New Roman"/>
        </w:rPr>
        <w:lastRenderedPageBreak/>
        <w:t>cultural contexts when programs incorporate local perspectives and values (</w:t>
      </w:r>
      <w:hyperlink w:anchor="ref-hildie2019">
        <w:r w:rsidRPr="00FE6C8B">
          <w:rPr>
            <w:rStyle w:val="af"/>
            <w:rFonts w:ascii="Times New Roman" w:hAnsi="Times New Roman" w:cs="Times New Roman"/>
            <w:color w:val="auto"/>
          </w:rPr>
          <w:t>H. Leung et al., 2019</w:t>
        </w:r>
      </w:hyperlink>
      <w:r w:rsidRPr="00FE6C8B">
        <w:rPr>
          <w:rFonts w:ascii="Times New Roman" w:hAnsi="Times New Roman" w:cs="Times New Roman"/>
        </w:rPr>
        <w:t>).</w:t>
      </w:r>
    </w:p>
    <w:p w14:paraId="24423C30"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The Hong Kong context presents both challenges and opportunities. Challenges include navigating diverse stakeholder perspectives, addressing cultural sensitivities, and managing political considerations. Opportunities include Hong Kong’s strong public health infrastructure, robust healthcare system, educated population, and experience successfully implementing evidence-based health policies in other domains. The city’s response to SARS and COVID-19 demonstrates capacity for science-driven public health action (</w:t>
      </w:r>
      <w:hyperlink w:anchor="ref-gm2003">
        <w:r w:rsidRPr="00FE6C8B">
          <w:rPr>
            <w:rStyle w:val="af"/>
            <w:rFonts w:ascii="Times New Roman" w:hAnsi="Times New Roman" w:cs="Times New Roman"/>
            <w:color w:val="auto"/>
          </w:rPr>
          <w:t>G. Leung et al., 2003</w:t>
        </w:r>
      </w:hyperlink>
      <w:r w:rsidRPr="00FE6C8B">
        <w:rPr>
          <w:rFonts w:ascii="Times New Roman" w:hAnsi="Times New Roman" w:cs="Times New Roman"/>
        </w:rPr>
        <w:t>); similar approaches can inform sexual health policy reform.</w:t>
      </w:r>
    </w:p>
    <w:p w14:paraId="1C0BC30C"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22" w:name="civil-society-and-community-perspectives"/>
      <w:bookmarkEnd w:id="21"/>
      <w:r w:rsidRPr="00FE6C8B">
        <w:rPr>
          <w:rFonts w:ascii="Times New Roman" w:hAnsi="Times New Roman" w:cs="Times New Roman"/>
          <w:color w:val="auto"/>
          <w:sz w:val="24"/>
          <w:szCs w:val="24"/>
        </w:rPr>
        <w:t>5.3 Civil Society and Community Perspectives</w:t>
      </w:r>
    </w:p>
    <w:p w14:paraId="0A467363"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Civil society organizations play critical roles in sexual health education, advocacy, and service provision. These organizations often possess unique insights into community needs, barriers to care, and effective intervention strategies. Research consistently demonstrates that community-based approaches enhanced by peer support yield superior outcomes compared to top-down interventions (</w:t>
      </w:r>
      <w:hyperlink w:anchor="ref-a2014">
        <w:r w:rsidRPr="00FE6C8B">
          <w:rPr>
            <w:rStyle w:val="af"/>
            <w:rFonts w:ascii="Times New Roman" w:hAnsi="Times New Roman" w:cs="Times New Roman"/>
            <w:color w:val="auto"/>
          </w:rPr>
          <w:t>Vassall et al., 2014</w:t>
        </w:r>
      </w:hyperlink>
      <w:r w:rsidRPr="00FE6C8B">
        <w:rPr>
          <w:rFonts w:ascii="Times New Roman" w:hAnsi="Times New Roman" w:cs="Times New Roman"/>
        </w:rPr>
        <w:t>).</w:t>
      </w:r>
    </w:p>
    <w:p w14:paraId="4BC55024"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Community perspectives highlight the practical impacts of restrictive legal frameworks. Organizations providing sexual health education report challenges accessing appropriate materials, legal uncertainties about permissible activities, and stigma that discourages individuals from seeking services. Sex educators emphasize the importance of comprehensive resources for effective teaching, including visual aids, demonstration products, and diverse materials addressing various needs and preferences.</w:t>
      </w:r>
    </w:p>
    <w:p w14:paraId="6BA0513D"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Engagement with affected communities reveals strong support for reform that would facilitate access to education and prevention resources while maintaining appropriate safeguards. This support reflects recognition that current frameworks create unnecessary barriers without advancing legitimate public interests, a perspective consistent with international evidence on legal approaches to sexual health (</w:t>
      </w:r>
      <w:hyperlink w:anchor="ref-lucy2018">
        <w:r w:rsidRPr="00FE6C8B">
          <w:rPr>
            <w:rStyle w:val="af"/>
            <w:rFonts w:ascii="Times New Roman" w:hAnsi="Times New Roman" w:cs="Times New Roman"/>
            <w:color w:val="auto"/>
          </w:rPr>
          <w:t>Platt et al., 2018</w:t>
        </w:r>
      </w:hyperlink>
      <w:r w:rsidRPr="00FE6C8B">
        <w:rPr>
          <w:rFonts w:ascii="Times New Roman" w:hAnsi="Times New Roman" w:cs="Times New Roman"/>
        </w:rPr>
        <w:t>).</w:t>
      </w:r>
    </w:p>
    <w:p w14:paraId="00597B0A" w14:textId="77777777" w:rsidR="009C71E2" w:rsidRPr="00FE6C8B" w:rsidRDefault="00000000" w:rsidP="00FE6C8B">
      <w:pPr>
        <w:pStyle w:val="2"/>
        <w:spacing w:line="360" w:lineRule="auto"/>
        <w:jc w:val="both"/>
        <w:rPr>
          <w:rFonts w:ascii="Times New Roman" w:hAnsi="Times New Roman" w:cs="Times New Roman"/>
          <w:color w:val="auto"/>
          <w:sz w:val="24"/>
          <w:szCs w:val="24"/>
        </w:rPr>
      </w:pPr>
      <w:bookmarkStart w:id="23" w:name="policy-recommendations-for-reform"/>
      <w:bookmarkEnd w:id="19"/>
      <w:bookmarkEnd w:id="22"/>
      <w:r w:rsidRPr="00FE6C8B">
        <w:rPr>
          <w:rFonts w:ascii="Times New Roman" w:hAnsi="Times New Roman" w:cs="Times New Roman"/>
          <w:b/>
          <w:bCs/>
          <w:color w:val="auto"/>
          <w:sz w:val="24"/>
          <w:szCs w:val="24"/>
        </w:rPr>
        <w:lastRenderedPageBreak/>
        <w:t>6. Policy Recommendations for Reform</w:t>
      </w:r>
    </w:p>
    <w:p w14:paraId="03D1D513"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24" w:name="legislative-reform-priorities"/>
      <w:r w:rsidRPr="00FE6C8B">
        <w:rPr>
          <w:rFonts w:ascii="Times New Roman" w:hAnsi="Times New Roman" w:cs="Times New Roman"/>
          <w:color w:val="auto"/>
          <w:sz w:val="24"/>
          <w:szCs w:val="24"/>
        </w:rPr>
        <w:t>6.1 Legislative Reform Priorities</w:t>
      </w:r>
    </w:p>
    <w:p w14:paraId="23E7F45A"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b/>
          <w:bCs/>
        </w:rPr>
        <w:t>Recommendation 1: Reclassify Sexual Wellness Products Outside the Offensive Weapons Framework</w:t>
      </w:r>
    </w:p>
    <w:p w14:paraId="1495D642"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The primary legislative reform should remove sex toys and intimate wellness products from the Offensive Weapons Ordinance, reclassifying them under consumer safety or health product regulations. This reclassification recognizes these items’ legitimate purposes while maintaining appropriate regulatory oversight. The reform should explicitly authorize healthcare providers, educators, and public health organizations to possess and use such materials for educational and professional purposes.</w:t>
      </w:r>
    </w:p>
    <w:p w14:paraId="5349600E"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International precedents provide models for appropriate regulatory frameworks. Consumer product safety legislation can address materials standards, labeling requirements, and quality control without criminal prohibitions. This approach balances legitimate regulatory interests with evidence-based public health priorities.</w:t>
      </w:r>
    </w:p>
    <w:p w14:paraId="40F6D283"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b/>
          <w:bCs/>
        </w:rPr>
        <w:t>Recommendation 2: Establish Explicit Legal Protections for Sexual Health Education</w:t>
      </w:r>
    </w:p>
    <w:p w14:paraId="57F6D071"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Reform should include explicit protections for healthcare providers, educators, and public health organizations engaged in comprehensive sexual health education. These protections should clearly authorize use of appropriate materials for educational purposes, demonstration of prevention methods, and distribution of educational resources. Legal clarity reduces uncertainty, encourages comprehensive education, and protects professionals providing evidence-based services.</w:t>
      </w:r>
    </w:p>
    <w:p w14:paraId="32A76B9F"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b/>
          <w:bCs/>
        </w:rPr>
        <w:t>Recommendation 3: Align Hong Kong Law with International Human Rights Standards</w:t>
      </w:r>
    </w:p>
    <w:p w14:paraId="5BD8942B"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Reform should explicitly reference international human rights instruments recognizing sexual and reproductive health as fundamental rights (</w:t>
      </w:r>
      <w:hyperlink w:anchor="ref-phil2005">
        <w:r w:rsidRPr="00FE6C8B">
          <w:rPr>
            <w:rStyle w:val="af"/>
            <w:rFonts w:ascii="Times New Roman" w:hAnsi="Times New Roman" w:cs="Times New Roman"/>
            <w:color w:val="auto"/>
          </w:rPr>
          <w:t>Chan, 2005</w:t>
        </w:r>
      </w:hyperlink>
      <w:r w:rsidRPr="00FE6C8B">
        <w:rPr>
          <w:rFonts w:ascii="Times New Roman" w:hAnsi="Times New Roman" w:cs="Times New Roman"/>
        </w:rPr>
        <w:t>). This alignment signals Hong Kong’s commitment to evidence-based, rights-respecting approaches while providing clear legal foundations for comprehensive sexual health policies.</w:t>
      </w:r>
    </w:p>
    <w:p w14:paraId="1EB9148F"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25" w:name="public-health-integration-strategies"/>
      <w:bookmarkEnd w:id="24"/>
      <w:r w:rsidRPr="00FE6C8B">
        <w:rPr>
          <w:rFonts w:ascii="Times New Roman" w:hAnsi="Times New Roman" w:cs="Times New Roman"/>
          <w:color w:val="auto"/>
          <w:sz w:val="24"/>
          <w:szCs w:val="24"/>
        </w:rPr>
        <w:lastRenderedPageBreak/>
        <w:t>6.2 Public Health Integration Strategies</w:t>
      </w:r>
    </w:p>
    <w:p w14:paraId="3D566ABF"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b/>
          <w:bCs/>
        </w:rPr>
        <w:t>Recommendation 4: Develop Comprehensive Adult Sexual Health Education Programs</w:t>
      </w:r>
    </w:p>
    <w:p w14:paraId="3749EF17"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Hong Kong should invest in comprehensive sexual health education for adults, recognizing that effective programs require ongoing access throughout the lifespan (</w:t>
      </w:r>
      <w:hyperlink w:anchor="ref-e2021">
        <w:r w:rsidRPr="00FE6C8B">
          <w:rPr>
            <w:rStyle w:val="af"/>
            <w:rFonts w:ascii="Times New Roman" w:hAnsi="Times New Roman" w:cs="Times New Roman"/>
            <w:color w:val="auto"/>
          </w:rPr>
          <w:t>Andres et al., 2021</w:t>
        </w:r>
      </w:hyperlink>
      <w:r w:rsidRPr="00FE6C8B">
        <w:rPr>
          <w:rFonts w:ascii="Times New Roman" w:hAnsi="Times New Roman" w:cs="Times New Roman"/>
        </w:rPr>
        <w:t>). Programs should adopt evidence-based approaches including problem-based learning, interactive education, and comprehensive coverage of diverse topics (</w:t>
      </w:r>
      <w:hyperlink w:anchor="ref-walter2022">
        <w:r w:rsidRPr="00FE6C8B">
          <w:rPr>
            <w:rStyle w:val="af"/>
            <w:rFonts w:ascii="Times New Roman" w:hAnsi="Times New Roman" w:cs="Times New Roman"/>
            <w:color w:val="auto"/>
          </w:rPr>
          <w:t>Millanzi et al., 2022</w:t>
        </w:r>
      </w:hyperlink>
      <w:r w:rsidRPr="00FE6C8B">
        <w:rPr>
          <w:rFonts w:ascii="Times New Roman" w:hAnsi="Times New Roman" w:cs="Times New Roman"/>
        </w:rPr>
        <w:t>). Legal reform must support these programs by ensuring access to necessary educational materials and removing barriers to comprehensive teaching.</w:t>
      </w:r>
    </w:p>
    <w:p w14:paraId="2A6606B2"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b/>
          <w:bCs/>
        </w:rPr>
        <w:t>Recommendation 5: Enhance Access to Diverse Safe-Sex Materials</w:t>
      </w:r>
    </w:p>
    <w:p w14:paraId="271B9D21"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Public health strategies should ensure wide availability of diverse prevention materials through multiple channels including healthcare facilities, pharmacies, community organizations, and potentially vending machines in appropriate locations. Research demonstrates that multi-channel access increases utilization and reduces barriers (</w:t>
      </w:r>
      <w:hyperlink w:anchor="ref-r2017">
        <w:r w:rsidRPr="00FE6C8B">
          <w:rPr>
            <w:rStyle w:val="af"/>
            <w:rFonts w:ascii="Times New Roman" w:hAnsi="Times New Roman" w:cs="Times New Roman"/>
            <w:color w:val="auto"/>
          </w:rPr>
          <w:t>Wanyenze et al., 2017</w:t>
        </w:r>
      </w:hyperlink>
      <w:r w:rsidRPr="00FE6C8B">
        <w:rPr>
          <w:rFonts w:ascii="Times New Roman" w:hAnsi="Times New Roman" w:cs="Times New Roman"/>
        </w:rPr>
        <w:t>). Distribution should be coupled with education about proper use and information about sexual health services.</w:t>
      </w:r>
    </w:p>
    <w:p w14:paraId="6967B2E2"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b/>
          <w:bCs/>
        </w:rPr>
        <w:t>Recommendation 6: Integrate Sexual Health into Primary Healthcare</w:t>
      </w:r>
    </w:p>
    <w:p w14:paraId="4A467546"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Sexual health services should be integrated into primary healthcare settings, reducing stigma and normalizing access to care (</w:t>
      </w:r>
      <w:hyperlink w:anchor="ref-r2017">
        <w:r w:rsidRPr="00FE6C8B">
          <w:rPr>
            <w:rStyle w:val="af"/>
            <w:rFonts w:ascii="Times New Roman" w:hAnsi="Times New Roman" w:cs="Times New Roman"/>
            <w:color w:val="auto"/>
          </w:rPr>
          <w:t>Wanyenze et al., 2017</w:t>
        </w:r>
      </w:hyperlink>
      <w:r w:rsidRPr="00FE6C8B">
        <w:rPr>
          <w:rFonts w:ascii="Times New Roman" w:hAnsi="Times New Roman" w:cs="Times New Roman"/>
        </w:rPr>
        <w:t>). Integration facilitates opportunistic screening, education, and prevention counseling while ensuring that sexual health receives appropriate attention within comprehensive healthcare delivery. Provider training should equip healthcare professionals to address sexual health competently and sensitively.</w:t>
      </w:r>
    </w:p>
    <w:p w14:paraId="0C0DCADC"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26" w:name="implementation-framework"/>
      <w:bookmarkEnd w:id="25"/>
      <w:r w:rsidRPr="00FE6C8B">
        <w:rPr>
          <w:rFonts w:ascii="Times New Roman" w:hAnsi="Times New Roman" w:cs="Times New Roman"/>
          <w:color w:val="auto"/>
          <w:sz w:val="24"/>
          <w:szCs w:val="24"/>
        </w:rPr>
        <w:t>6.3 Implementation Framework</w:t>
      </w:r>
    </w:p>
    <w:p w14:paraId="082C17E4"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b/>
          <w:bCs/>
        </w:rPr>
        <w:t>Recommendation 7: Establish Multi-Stakeholder Implementation Committee</w:t>
      </w:r>
    </w:p>
    <w:p w14:paraId="1E9D41A0"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lastRenderedPageBreak/>
        <w:t>Reform implementation should be guided by a multi-stakeholder committee including public health officials, healthcare providers, legal experts, educators, civil society representatives, and community members. This approach ensures diverse perspectives inform implementation while building broad support for reforms.</w:t>
      </w:r>
    </w:p>
    <w:p w14:paraId="11EB48A8"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b/>
          <w:bCs/>
        </w:rPr>
        <w:t>Recommendation 8: Develop Phased Implementation with Pilot Programs</w:t>
      </w:r>
    </w:p>
    <w:p w14:paraId="0A4F0AFC"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Implementation should proceed in phases, beginning with pilot programs in selected districts or populations. Phased implementation allows refinement based on experience, addresses emerging challenges, and demonstrates feasibility before full-scale rollout. Pilot programs should include robust monitoring and evaluation to inform subsequent phases.</w:t>
      </w:r>
    </w:p>
    <w:p w14:paraId="156510A2"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b/>
          <w:bCs/>
        </w:rPr>
        <w:t>Recommendation 9: Invest in Public Education and Stakeholder Engagement</w:t>
      </w:r>
    </w:p>
    <w:p w14:paraId="613BDB56"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Successful reform requires public education addressing misconceptions, explaining rationales, and building support. Education campaigns should emphasize evidence-based approaches, international best practices, and how reforms advance public health while respecting cultural contexts. Stakeholder engagement should involve ongoing dialogue with diverse groups including healthcare providers, educators, religious communities, and civil society organizations.</w:t>
      </w:r>
    </w:p>
    <w:p w14:paraId="505A4CD4" w14:textId="77777777" w:rsidR="009C71E2" w:rsidRPr="00FE6C8B" w:rsidRDefault="00000000" w:rsidP="00FE6C8B">
      <w:pPr>
        <w:pStyle w:val="3"/>
        <w:spacing w:line="360" w:lineRule="auto"/>
        <w:jc w:val="both"/>
        <w:rPr>
          <w:rFonts w:ascii="Times New Roman" w:hAnsi="Times New Roman" w:cs="Times New Roman"/>
          <w:color w:val="auto"/>
          <w:sz w:val="24"/>
          <w:szCs w:val="24"/>
        </w:rPr>
      </w:pPr>
      <w:bookmarkStart w:id="27" w:name="monitoring-and-evaluation"/>
      <w:bookmarkEnd w:id="26"/>
      <w:r w:rsidRPr="00FE6C8B">
        <w:rPr>
          <w:rFonts w:ascii="Times New Roman" w:hAnsi="Times New Roman" w:cs="Times New Roman"/>
          <w:color w:val="auto"/>
          <w:sz w:val="24"/>
          <w:szCs w:val="24"/>
        </w:rPr>
        <w:t>6.4 Monitoring and Evaluation</w:t>
      </w:r>
    </w:p>
    <w:p w14:paraId="33425202"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b/>
          <w:bCs/>
        </w:rPr>
        <w:t>Recommendation 10: Establish Comprehensive Monitoring Framework</w:t>
      </w:r>
    </w:p>
    <w:p w14:paraId="1250ED46"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Reform should be accompanied by robust monitoring and evaluation assessing implementation progress, identifying challenges, and measuring outcomes. Key indicators should include: STI/HIV incidence and prevalence trends; access to sexual health services and education; utilization of prevention materials; healthcare provider knowledge and comfort addressing sexual health; public knowledge and attitudes; and adverse events or unintended consequences.</w:t>
      </w:r>
    </w:p>
    <w:p w14:paraId="45AB420A"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 xml:space="preserve">Monitoring should employ mixed methods combining quantitative indicators with qualitative assessment of experiences, barriers, and facilitators. Regular reporting should </w:t>
      </w:r>
      <w:r w:rsidRPr="00FE6C8B">
        <w:rPr>
          <w:rFonts w:ascii="Times New Roman" w:hAnsi="Times New Roman" w:cs="Times New Roman"/>
        </w:rPr>
        <w:lastRenderedPageBreak/>
        <w:t xml:space="preserve">inform ongoing refinement and demonstrate accountability. International comparisons can provide context for assessing Hong Kong’s progress relative to peer </w:t>
      </w:r>
      <w:proofErr w:type="gramStart"/>
      <w:r w:rsidRPr="00FE6C8B">
        <w:rPr>
          <w:rFonts w:ascii="Times New Roman" w:hAnsi="Times New Roman" w:cs="Times New Roman"/>
        </w:rPr>
        <w:t>jurisdictions</w:t>
      </w:r>
      <w:proofErr w:type="gramEnd"/>
      <w:r w:rsidRPr="00FE6C8B">
        <w:rPr>
          <w:rFonts w:ascii="Times New Roman" w:hAnsi="Times New Roman" w:cs="Times New Roman"/>
        </w:rPr>
        <w:t>.</w:t>
      </w:r>
    </w:p>
    <w:p w14:paraId="56114888" w14:textId="77777777" w:rsidR="009C71E2" w:rsidRPr="00FE6C8B" w:rsidRDefault="00000000" w:rsidP="00FE6C8B">
      <w:pPr>
        <w:pStyle w:val="2"/>
        <w:spacing w:line="360" w:lineRule="auto"/>
        <w:jc w:val="both"/>
        <w:rPr>
          <w:rFonts w:ascii="Times New Roman" w:hAnsi="Times New Roman" w:cs="Times New Roman"/>
          <w:color w:val="auto"/>
          <w:sz w:val="24"/>
          <w:szCs w:val="24"/>
        </w:rPr>
      </w:pPr>
      <w:bookmarkStart w:id="28" w:name="conclusion"/>
      <w:bookmarkEnd w:id="23"/>
      <w:bookmarkEnd w:id="27"/>
      <w:r w:rsidRPr="00FE6C8B">
        <w:rPr>
          <w:rFonts w:ascii="Times New Roman" w:hAnsi="Times New Roman" w:cs="Times New Roman"/>
          <w:b/>
          <w:bCs/>
          <w:color w:val="auto"/>
          <w:sz w:val="24"/>
          <w:szCs w:val="24"/>
        </w:rPr>
        <w:t>7. Conclusion</w:t>
      </w:r>
    </w:p>
    <w:p w14:paraId="70186D82" w14:textId="77777777" w:rsidR="009C71E2" w:rsidRPr="00FE6C8B" w:rsidRDefault="00000000" w:rsidP="00FE6C8B">
      <w:pPr>
        <w:pStyle w:val="FirstParagraph"/>
        <w:spacing w:line="360" w:lineRule="auto"/>
        <w:jc w:val="both"/>
        <w:rPr>
          <w:rFonts w:ascii="Times New Roman" w:hAnsi="Times New Roman" w:cs="Times New Roman"/>
        </w:rPr>
      </w:pPr>
      <w:r w:rsidRPr="00FE6C8B">
        <w:rPr>
          <w:rFonts w:ascii="Times New Roman" w:hAnsi="Times New Roman" w:cs="Times New Roman"/>
        </w:rPr>
        <w:t xml:space="preserve">Hong Kong’s classification of sex toys and intimate wellness products as “offensive weapons” under Cap. 217 creates significant barriers to comprehensive sexual health education, limits access to evidence-based prevention </w:t>
      </w:r>
      <w:proofErr w:type="gramStart"/>
      <w:r w:rsidRPr="00FE6C8B">
        <w:rPr>
          <w:rFonts w:ascii="Times New Roman" w:hAnsi="Times New Roman" w:cs="Times New Roman"/>
        </w:rPr>
        <w:t>materials, and</w:t>
      </w:r>
      <w:proofErr w:type="gramEnd"/>
      <w:r w:rsidRPr="00FE6C8B">
        <w:rPr>
          <w:rFonts w:ascii="Times New Roman" w:hAnsi="Times New Roman" w:cs="Times New Roman"/>
        </w:rPr>
        <w:t xml:space="preserve"> undermines public health objectives. This report has demonstrated through systematic examination of international evidence, legal frameworks, and public health research that restrictive approaches correlate with worse health outcomes, increased stigma, and reduced access to critical resources.</w:t>
      </w:r>
    </w:p>
    <w:p w14:paraId="742E07D7"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The evidence compellingly supports legislative reform that would reclassify these products outside the criminal framework, establish explicit protections for sexual health education, and align Hong Kong’s approach with international best practices. Such reform presents an opportunity to strengthen Hong Kong’s public health infrastructure, improve sexual health outcomes, and demonstrate commitment to evidence-based, rights-respecting policy.</w:t>
      </w:r>
    </w:p>
    <w:p w14:paraId="24EFA770"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Reform need not conflict with cultural values or appropriate regulatory oversight. International experience demonstrates that comprehensive sexual health approaches can be implemented in diverse contexts when programs incorporate local perspectives, respect cultural sensitivities, and maintain appropriate safeguards. The economic, public health, and human rights cases for reform are compelling.</w:t>
      </w:r>
    </w:p>
    <w:p w14:paraId="18F72F8F"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t xml:space="preserve">The path forward requires political will, stakeholder engagement, and commitment to evidence-based policy. With thoughtful implementation informed by international best practices and Hong Kong’s unique context, reform can advance public health objectives while respecting diverse perspectives. The urgency is clear: every day that restrictive frameworks remain in place </w:t>
      </w:r>
      <w:proofErr w:type="gramStart"/>
      <w:r w:rsidRPr="00FE6C8B">
        <w:rPr>
          <w:rFonts w:ascii="Times New Roman" w:hAnsi="Times New Roman" w:cs="Times New Roman"/>
        </w:rPr>
        <w:t>represents</w:t>
      </w:r>
      <w:proofErr w:type="gramEnd"/>
      <w:r w:rsidRPr="00FE6C8B">
        <w:rPr>
          <w:rFonts w:ascii="Times New Roman" w:hAnsi="Times New Roman" w:cs="Times New Roman"/>
        </w:rPr>
        <w:t xml:space="preserve"> missed opportunities for prevention, education, and health promotion. Hong Kong has demonstrated capacity for effective public health action in multiple domains; similar leadership can transform sexual health policy to the benefit of all residents.</w:t>
      </w:r>
    </w:p>
    <w:p w14:paraId="5DE83972" w14:textId="77777777" w:rsidR="009C71E2" w:rsidRPr="00FE6C8B" w:rsidRDefault="00000000" w:rsidP="00FE6C8B">
      <w:pPr>
        <w:pStyle w:val="a0"/>
        <w:spacing w:line="360" w:lineRule="auto"/>
        <w:jc w:val="both"/>
        <w:rPr>
          <w:rFonts w:ascii="Times New Roman" w:hAnsi="Times New Roman" w:cs="Times New Roman"/>
        </w:rPr>
      </w:pPr>
      <w:r w:rsidRPr="00FE6C8B">
        <w:rPr>
          <w:rFonts w:ascii="Times New Roman" w:hAnsi="Times New Roman" w:cs="Times New Roman"/>
        </w:rPr>
        <w:lastRenderedPageBreak/>
        <w:t>The recommendations presented in this report provide a roadmap for comprehensive reform grounded in evidence, informed by international experience, and tailored to Hong Kong’s context. Implementation will require sustained effort, but the potential benefits—improved health outcomes, reduced stigma, enhanced quality of life, and more effective prevention—make reform an investment in Hong Kong’s public health future. The question is not whether reform is needed, but how quickly Hong Kong can implement changes that evidence clearly supports and public health urgently requires.</w:t>
      </w:r>
    </w:p>
    <w:p w14:paraId="30F0A29B" w14:textId="3EB1F613" w:rsidR="009C71E2" w:rsidRDefault="009C71E2"/>
    <w:p w14:paraId="1A9AE622" w14:textId="77777777" w:rsidR="009C71E2" w:rsidRPr="00FE6C8B" w:rsidRDefault="00000000">
      <w:pPr>
        <w:pStyle w:val="2"/>
        <w:rPr>
          <w:rFonts w:ascii="Times New Roman" w:hAnsi="Times New Roman" w:cs="Times New Roman"/>
          <w:color w:val="auto"/>
          <w:sz w:val="24"/>
          <w:szCs w:val="24"/>
        </w:rPr>
      </w:pPr>
      <w:bookmarkStart w:id="29" w:name="tables-and-figures"/>
      <w:bookmarkEnd w:id="28"/>
      <w:r w:rsidRPr="00FE6C8B">
        <w:rPr>
          <w:rFonts w:ascii="Times New Roman" w:hAnsi="Times New Roman" w:cs="Times New Roman"/>
          <w:b/>
          <w:bCs/>
          <w:color w:val="auto"/>
          <w:sz w:val="24"/>
          <w:szCs w:val="24"/>
        </w:rPr>
        <w:t>Tables and Figures</w:t>
      </w:r>
    </w:p>
    <w:p w14:paraId="437B6751" w14:textId="77777777" w:rsidR="009C71E2" w:rsidRPr="00FE6C8B" w:rsidRDefault="00000000">
      <w:pPr>
        <w:pStyle w:val="FirstParagraph"/>
        <w:rPr>
          <w:rFonts w:ascii="Times New Roman" w:hAnsi="Times New Roman" w:cs="Times New Roman"/>
        </w:rPr>
      </w:pPr>
      <w:r w:rsidRPr="00FE6C8B">
        <w:rPr>
          <w:rFonts w:ascii="Times New Roman" w:hAnsi="Times New Roman" w:cs="Times New Roman"/>
          <w:b/>
          <w:bCs/>
        </w:rPr>
        <w:t>Table 1: Comparative Legal Frameworks for Sexual Wellness Products Across Selected Jurisdictions</w:t>
      </w:r>
    </w:p>
    <w:tbl>
      <w:tblPr>
        <w:tblStyle w:val="Table"/>
        <w:tblW w:w="5000" w:type="pct"/>
        <w:tblLayout w:type="fixed"/>
        <w:tblLook w:val="0020" w:firstRow="1" w:lastRow="0" w:firstColumn="0" w:lastColumn="0" w:noHBand="0" w:noVBand="0"/>
      </w:tblPr>
      <w:tblGrid>
        <w:gridCol w:w="1728"/>
        <w:gridCol w:w="1728"/>
        <w:gridCol w:w="1728"/>
        <w:gridCol w:w="1728"/>
        <w:gridCol w:w="1728"/>
      </w:tblGrid>
      <w:tr w:rsidR="00FE6C8B" w:rsidRPr="00FE6C8B" w14:paraId="24E279F5" w14:textId="77777777" w:rsidTr="009C71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0375468"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Jurisdiction</w:t>
            </w:r>
          </w:p>
        </w:tc>
        <w:tc>
          <w:tcPr>
            <w:tcW w:w="1584" w:type="dxa"/>
          </w:tcPr>
          <w:p w14:paraId="15AE0CA6"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Legal Classification</w:t>
            </w:r>
          </w:p>
        </w:tc>
        <w:tc>
          <w:tcPr>
            <w:tcW w:w="1584" w:type="dxa"/>
          </w:tcPr>
          <w:p w14:paraId="51280150"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Regulatory Approach</w:t>
            </w:r>
          </w:p>
        </w:tc>
        <w:tc>
          <w:tcPr>
            <w:tcW w:w="1584" w:type="dxa"/>
          </w:tcPr>
          <w:p w14:paraId="06C73F12"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Key Features</w:t>
            </w:r>
          </w:p>
        </w:tc>
        <w:tc>
          <w:tcPr>
            <w:tcW w:w="1584" w:type="dxa"/>
          </w:tcPr>
          <w:p w14:paraId="24CB4352"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Sexual Health Outcomes</w:t>
            </w:r>
          </w:p>
        </w:tc>
      </w:tr>
      <w:tr w:rsidR="00FE6C8B" w:rsidRPr="00FE6C8B" w14:paraId="7783D051" w14:textId="77777777">
        <w:tc>
          <w:tcPr>
            <w:tcW w:w="1584" w:type="dxa"/>
          </w:tcPr>
          <w:p w14:paraId="1F6D6554"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Hong Kong (current)</w:t>
            </w:r>
          </w:p>
        </w:tc>
        <w:tc>
          <w:tcPr>
            <w:tcW w:w="1584" w:type="dxa"/>
          </w:tcPr>
          <w:p w14:paraId="42D4F945"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Offensive weapons</w:t>
            </w:r>
          </w:p>
        </w:tc>
        <w:tc>
          <w:tcPr>
            <w:tcW w:w="1584" w:type="dxa"/>
          </w:tcPr>
          <w:p w14:paraId="7F6B96EB"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Criminal prohibition</w:t>
            </w:r>
          </w:p>
        </w:tc>
        <w:tc>
          <w:tcPr>
            <w:tcW w:w="1584" w:type="dxa"/>
          </w:tcPr>
          <w:p w14:paraId="5D89A0D1"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Sale/distribution criminalized</w:t>
            </w:r>
          </w:p>
        </w:tc>
        <w:tc>
          <w:tcPr>
            <w:tcW w:w="1584" w:type="dxa"/>
          </w:tcPr>
          <w:p w14:paraId="03EB5E0D"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Barriers to education/access</w:t>
            </w:r>
          </w:p>
        </w:tc>
      </w:tr>
      <w:tr w:rsidR="00FE6C8B" w:rsidRPr="00FE6C8B" w14:paraId="2030893E" w14:textId="77777777">
        <w:tc>
          <w:tcPr>
            <w:tcW w:w="1584" w:type="dxa"/>
          </w:tcPr>
          <w:p w14:paraId="16DBAB17"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Netherlands</w:t>
            </w:r>
          </w:p>
        </w:tc>
        <w:tc>
          <w:tcPr>
            <w:tcW w:w="1584" w:type="dxa"/>
          </w:tcPr>
          <w:p w14:paraId="043F47FB"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Consumer products</w:t>
            </w:r>
          </w:p>
        </w:tc>
        <w:tc>
          <w:tcPr>
            <w:tcW w:w="1584" w:type="dxa"/>
          </w:tcPr>
          <w:p w14:paraId="0AB92B9F"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Safety regulation</w:t>
            </w:r>
          </w:p>
        </w:tc>
        <w:tc>
          <w:tcPr>
            <w:tcW w:w="1584" w:type="dxa"/>
          </w:tcPr>
          <w:p w14:paraId="7CCB3884"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Quality standards, no prohibition</w:t>
            </w:r>
          </w:p>
        </w:tc>
        <w:tc>
          <w:tcPr>
            <w:tcW w:w="1584" w:type="dxa"/>
          </w:tcPr>
          <w:p w14:paraId="1B442447"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Excellent STI control, comprehensive education</w:t>
            </w:r>
          </w:p>
        </w:tc>
      </w:tr>
      <w:tr w:rsidR="00FE6C8B" w:rsidRPr="00FE6C8B" w14:paraId="4E334DF2" w14:textId="77777777">
        <w:tc>
          <w:tcPr>
            <w:tcW w:w="1584" w:type="dxa"/>
          </w:tcPr>
          <w:p w14:paraId="010DD403"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Australia</w:t>
            </w:r>
          </w:p>
        </w:tc>
        <w:tc>
          <w:tcPr>
            <w:tcW w:w="1584" w:type="dxa"/>
          </w:tcPr>
          <w:p w14:paraId="0A8B2B52"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Consumer/therapeutic goods</w:t>
            </w:r>
          </w:p>
        </w:tc>
        <w:tc>
          <w:tcPr>
            <w:tcW w:w="1584" w:type="dxa"/>
          </w:tcPr>
          <w:p w14:paraId="18098D0F"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Mixed regulation</w:t>
            </w:r>
          </w:p>
        </w:tc>
        <w:tc>
          <w:tcPr>
            <w:tcW w:w="1584" w:type="dxa"/>
          </w:tcPr>
          <w:p w14:paraId="41753421"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State-level consumer laws, therapeutic goods framework</w:t>
            </w:r>
          </w:p>
        </w:tc>
        <w:tc>
          <w:tcPr>
            <w:tcW w:w="1584" w:type="dxa"/>
          </w:tcPr>
          <w:p w14:paraId="485DB69C"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Good outcomes, accessible services</w:t>
            </w:r>
          </w:p>
        </w:tc>
      </w:tr>
      <w:tr w:rsidR="00FE6C8B" w:rsidRPr="00FE6C8B" w14:paraId="1E1A137A" w14:textId="77777777">
        <w:tc>
          <w:tcPr>
            <w:tcW w:w="1584" w:type="dxa"/>
          </w:tcPr>
          <w:p w14:paraId="21421D80"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United Kingdom</w:t>
            </w:r>
          </w:p>
        </w:tc>
        <w:tc>
          <w:tcPr>
            <w:tcW w:w="1584" w:type="dxa"/>
          </w:tcPr>
          <w:p w14:paraId="00727026"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Consumer products</w:t>
            </w:r>
          </w:p>
        </w:tc>
        <w:tc>
          <w:tcPr>
            <w:tcW w:w="1584" w:type="dxa"/>
          </w:tcPr>
          <w:p w14:paraId="41452192"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Safety/standards</w:t>
            </w:r>
          </w:p>
        </w:tc>
        <w:tc>
          <w:tcPr>
            <w:tcW w:w="1584" w:type="dxa"/>
          </w:tcPr>
          <w:p w14:paraId="1425A79F"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Consumer protection, no criminal framework</w:t>
            </w:r>
          </w:p>
        </w:tc>
        <w:tc>
          <w:tcPr>
            <w:tcW w:w="1584" w:type="dxa"/>
          </w:tcPr>
          <w:p w14:paraId="039C4BF1"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Comprehensive NHS sexual health services</w:t>
            </w:r>
          </w:p>
        </w:tc>
      </w:tr>
      <w:tr w:rsidR="00FE6C8B" w:rsidRPr="00FE6C8B" w14:paraId="4EC1D009" w14:textId="77777777">
        <w:tc>
          <w:tcPr>
            <w:tcW w:w="1584" w:type="dxa"/>
          </w:tcPr>
          <w:p w14:paraId="6969E843"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Thailand</w:t>
            </w:r>
          </w:p>
        </w:tc>
        <w:tc>
          <w:tcPr>
            <w:tcW w:w="1584" w:type="dxa"/>
          </w:tcPr>
          <w:p w14:paraId="1F005458"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Variable</w:t>
            </w:r>
          </w:p>
        </w:tc>
        <w:tc>
          <w:tcPr>
            <w:tcW w:w="1584" w:type="dxa"/>
          </w:tcPr>
          <w:p w14:paraId="6AB06D10"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Public health integration</w:t>
            </w:r>
          </w:p>
        </w:tc>
        <w:tc>
          <w:tcPr>
            <w:tcW w:w="1584" w:type="dxa"/>
          </w:tcPr>
          <w:p w14:paraId="0D54E864"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Prevention materials widely available</w:t>
            </w:r>
          </w:p>
        </w:tc>
        <w:tc>
          <w:tcPr>
            <w:tcW w:w="1584" w:type="dxa"/>
          </w:tcPr>
          <w:p w14:paraId="0D63F52F"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Successful HIV prevention programs</w:t>
            </w:r>
          </w:p>
        </w:tc>
      </w:tr>
      <w:tr w:rsidR="00FE6C8B" w:rsidRPr="00FE6C8B" w14:paraId="71C3BF33" w14:textId="77777777">
        <w:tc>
          <w:tcPr>
            <w:tcW w:w="1584" w:type="dxa"/>
          </w:tcPr>
          <w:p w14:paraId="7C56B970"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Singapore</w:t>
            </w:r>
          </w:p>
        </w:tc>
        <w:tc>
          <w:tcPr>
            <w:tcW w:w="1584" w:type="dxa"/>
          </w:tcPr>
          <w:p w14:paraId="26150B87"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Restricted/obscenity laws</w:t>
            </w:r>
          </w:p>
        </w:tc>
        <w:tc>
          <w:tcPr>
            <w:tcW w:w="1584" w:type="dxa"/>
          </w:tcPr>
          <w:p w14:paraId="10680E0A"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Mixed criminal/regulatory</w:t>
            </w:r>
          </w:p>
        </w:tc>
        <w:tc>
          <w:tcPr>
            <w:tcW w:w="1584" w:type="dxa"/>
          </w:tcPr>
          <w:p w14:paraId="02EF60DD"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Restrictions on imports/sales with exceptions</w:t>
            </w:r>
          </w:p>
        </w:tc>
        <w:tc>
          <w:tcPr>
            <w:tcW w:w="1584" w:type="dxa"/>
          </w:tcPr>
          <w:p w14:paraId="3463BFD9"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Mixed outcomes, education barriers</w:t>
            </w:r>
          </w:p>
        </w:tc>
      </w:tr>
    </w:tbl>
    <w:p w14:paraId="7D8AF06C" w14:textId="77777777" w:rsidR="009C71E2" w:rsidRPr="00FE6C8B" w:rsidRDefault="00000000">
      <w:pPr>
        <w:pStyle w:val="a0"/>
        <w:rPr>
          <w:rFonts w:ascii="Times New Roman" w:hAnsi="Times New Roman" w:cs="Times New Roman"/>
        </w:rPr>
      </w:pPr>
      <w:r w:rsidRPr="00FE6C8B">
        <w:rPr>
          <w:rFonts w:ascii="Times New Roman" w:hAnsi="Times New Roman" w:cs="Times New Roman"/>
          <w:b/>
          <w:bCs/>
        </w:rPr>
        <w:lastRenderedPageBreak/>
        <w:t>Table 2: Public Health Outcomes Associated with Legal Approaches to Sexual Health Materials</w:t>
      </w:r>
    </w:p>
    <w:tbl>
      <w:tblPr>
        <w:tblStyle w:val="Table"/>
        <w:tblW w:w="5000" w:type="pct"/>
        <w:tblLayout w:type="fixed"/>
        <w:tblLook w:val="0020" w:firstRow="1" w:lastRow="0" w:firstColumn="0" w:lastColumn="0" w:noHBand="0" w:noVBand="0"/>
      </w:tblPr>
      <w:tblGrid>
        <w:gridCol w:w="2160"/>
        <w:gridCol w:w="2160"/>
        <w:gridCol w:w="2160"/>
        <w:gridCol w:w="2160"/>
      </w:tblGrid>
      <w:tr w:rsidR="00FE6C8B" w:rsidRPr="00FE6C8B" w14:paraId="7BEA84EC" w14:textId="77777777" w:rsidTr="009C71E2">
        <w:trPr>
          <w:cnfStyle w:val="100000000000" w:firstRow="1" w:lastRow="0" w:firstColumn="0" w:lastColumn="0" w:oddVBand="0" w:evenVBand="0" w:oddHBand="0" w:evenHBand="0" w:firstRowFirstColumn="0" w:firstRowLastColumn="0" w:lastRowFirstColumn="0" w:lastRowLastColumn="0"/>
          <w:tblHeader/>
        </w:trPr>
        <w:tc>
          <w:tcPr>
            <w:tcW w:w="1980" w:type="dxa"/>
          </w:tcPr>
          <w:p w14:paraId="56366AD3"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Outcome Measure</w:t>
            </w:r>
          </w:p>
        </w:tc>
        <w:tc>
          <w:tcPr>
            <w:tcW w:w="1980" w:type="dxa"/>
          </w:tcPr>
          <w:p w14:paraId="00AD09C8"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Restrictive Legal Frameworks</w:t>
            </w:r>
          </w:p>
        </w:tc>
        <w:tc>
          <w:tcPr>
            <w:tcW w:w="1980" w:type="dxa"/>
          </w:tcPr>
          <w:p w14:paraId="095CEB11"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Permissive/Public Health Frameworks</w:t>
            </w:r>
          </w:p>
        </w:tc>
        <w:tc>
          <w:tcPr>
            <w:tcW w:w="1980" w:type="dxa"/>
          </w:tcPr>
          <w:p w14:paraId="4CB2A180"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Evidence Strength</w:t>
            </w:r>
          </w:p>
        </w:tc>
      </w:tr>
      <w:tr w:rsidR="00FE6C8B" w:rsidRPr="00FE6C8B" w14:paraId="6AE37952" w14:textId="77777777">
        <w:tc>
          <w:tcPr>
            <w:tcW w:w="1980" w:type="dxa"/>
          </w:tcPr>
          <w:p w14:paraId="6EFA5CF3"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STI Incidence</w:t>
            </w:r>
          </w:p>
        </w:tc>
        <w:tc>
          <w:tcPr>
            <w:tcW w:w="1980" w:type="dxa"/>
          </w:tcPr>
          <w:p w14:paraId="15CCC300"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Higher/stable</w:t>
            </w:r>
          </w:p>
        </w:tc>
        <w:tc>
          <w:tcPr>
            <w:tcW w:w="1980" w:type="dxa"/>
          </w:tcPr>
          <w:p w14:paraId="6B61A00E"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Lower/declining</w:t>
            </w:r>
          </w:p>
        </w:tc>
        <w:tc>
          <w:tcPr>
            <w:tcW w:w="1980" w:type="dxa"/>
          </w:tcPr>
          <w:p w14:paraId="1B4616C0"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Strong</w:t>
            </w:r>
          </w:p>
        </w:tc>
      </w:tr>
      <w:tr w:rsidR="00FE6C8B" w:rsidRPr="00FE6C8B" w14:paraId="12B3DF90" w14:textId="77777777">
        <w:tc>
          <w:tcPr>
            <w:tcW w:w="1980" w:type="dxa"/>
          </w:tcPr>
          <w:p w14:paraId="33B23A1F"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HIV Prevention</w:t>
            </w:r>
          </w:p>
        </w:tc>
        <w:tc>
          <w:tcPr>
            <w:tcW w:w="1980" w:type="dxa"/>
          </w:tcPr>
          <w:p w14:paraId="576C9080"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Barriers to comprehensive programs</w:t>
            </w:r>
          </w:p>
        </w:tc>
        <w:tc>
          <w:tcPr>
            <w:tcW w:w="1980" w:type="dxa"/>
          </w:tcPr>
          <w:p w14:paraId="7AF06526"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Integrated prevention strategies</w:t>
            </w:r>
          </w:p>
        </w:tc>
        <w:tc>
          <w:tcPr>
            <w:tcW w:w="1980" w:type="dxa"/>
          </w:tcPr>
          <w:p w14:paraId="73655D29"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Strong</w:t>
            </w:r>
          </w:p>
        </w:tc>
      </w:tr>
      <w:tr w:rsidR="00FE6C8B" w:rsidRPr="00FE6C8B" w14:paraId="27ECC18B" w14:textId="77777777">
        <w:tc>
          <w:tcPr>
            <w:tcW w:w="1980" w:type="dxa"/>
          </w:tcPr>
          <w:p w14:paraId="19945FEC"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Access to Services</w:t>
            </w:r>
          </w:p>
        </w:tc>
        <w:tc>
          <w:tcPr>
            <w:tcW w:w="1980" w:type="dxa"/>
          </w:tcPr>
          <w:p w14:paraId="6C309495"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Reduced healthcare-seeking</w:t>
            </w:r>
          </w:p>
        </w:tc>
        <w:tc>
          <w:tcPr>
            <w:tcW w:w="1980" w:type="dxa"/>
          </w:tcPr>
          <w:p w14:paraId="1EC10CA5"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Higher utilization</w:t>
            </w:r>
          </w:p>
        </w:tc>
        <w:tc>
          <w:tcPr>
            <w:tcW w:w="1980" w:type="dxa"/>
          </w:tcPr>
          <w:p w14:paraId="6F0EDACC"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Moderate-Strong</w:t>
            </w:r>
          </w:p>
        </w:tc>
      </w:tr>
      <w:tr w:rsidR="00FE6C8B" w:rsidRPr="00FE6C8B" w14:paraId="08927645" w14:textId="77777777">
        <w:tc>
          <w:tcPr>
            <w:tcW w:w="1980" w:type="dxa"/>
          </w:tcPr>
          <w:p w14:paraId="40C9A7AB"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Sexual Health Education</w:t>
            </w:r>
          </w:p>
        </w:tc>
        <w:tc>
          <w:tcPr>
            <w:tcW w:w="1980" w:type="dxa"/>
          </w:tcPr>
          <w:p w14:paraId="1332317A"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Limited comprehensiveness</w:t>
            </w:r>
          </w:p>
        </w:tc>
        <w:tc>
          <w:tcPr>
            <w:tcW w:w="1980" w:type="dxa"/>
          </w:tcPr>
          <w:p w14:paraId="07A0CD72"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Evidence-based programs</w:t>
            </w:r>
          </w:p>
        </w:tc>
        <w:tc>
          <w:tcPr>
            <w:tcW w:w="1980" w:type="dxa"/>
          </w:tcPr>
          <w:p w14:paraId="3EF643C3"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Strong</w:t>
            </w:r>
          </w:p>
        </w:tc>
      </w:tr>
      <w:tr w:rsidR="00FE6C8B" w:rsidRPr="00FE6C8B" w14:paraId="4629E543" w14:textId="77777777">
        <w:tc>
          <w:tcPr>
            <w:tcW w:w="1980" w:type="dxa"/>
          </w:tcPr>
          <w:p w14:paraId="75CFF427"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Prevention Material Use</w:t>
            </w:r>
          </w:p>
        </w:tc>
        <w:tc>
          <w:tcPr>
            <w:tcW w:w="1980" w:type="dxa"/>
          </w:tcPr>
          <w:p w14:paraId="45D67A1F"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Lower consistent use</w:t>
            </w:r>
          </w:p>
        </w:tc>
        <w:tc>
          <w:tcPr>
            <w:tcW w:w="1980" w:type="dxa"/>
          </w:tcPr>
          <w:p w14:paraId="5017DE23"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Higher utilization</w:t>
            </w:r>
          </w:p>
        </w:tc>
        <w:tc>
          <w:tcPr>
            <w:tcW w:w="1980" w:type="dxa"/>
          </w:tcPr>
          <w:p w14:paraId="3EB1CD9D"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Strong</w:t>
            </w:r>
          </w:p>
        </w:tc>
      </w:tr>
      <w:tr w:rsidR="00FE6C8B" w:rsidRPr="00FE6C8B" w14:paraId="0112E33D" w14:textId="77777777">
        <w:tc>
          <w:tcPr>
            <w:tcW w:w="1980" w:type="dxa"/>
          </w:tcPr>
          <w:p w14:paraId="504D2463"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Stigma/Discrimination</w:t>
            </w:r>
          </w:p>
        </w:tc>
        <w:tc>
          <w:tcPr>
            <w:tcW w:w="1980" w:type="dxa"/>
          </w:tcPr>
          <w:p w14:paraId="3A79DD21"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Increased</w:t>
            </w:r>
          </w:p>
        </w:tc>
        <w:tc>
          <w:tcPr>
            <w:tcW w:w="1980" w:type="dxa"/>
          </w:tcPr>
          <w:p w14:paraId="70251BCB"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Reduced</w:t>
            </w:r>
          </w:p>
        </w:tc>
        <w:tc>
          <w:tcPr>
            <w:tcW w:w="1980" w:type="dxa"/>
          </w:tcPr>
          <w:p w14:paraId="5AA82EA9"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Moderate</w:t>
            </w:r>
          </w:p>
        </w:tc>
      </w:tr>
      <w:tr w:rsidR="00FE6C8B" w:rsidRPr="00FE6C8B" w14:paraId="5195ACD2" w14:textId="77777777">
        <w:tc>
          <w:tcPr>
            <w:tcW w:w="1980" w:type="dxa"/>
          </w:tcPr>
          <w:p w14:paraId="4CA44678"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Healthcare Provider Comfort</w:t>
            </w:r>
          </w:p>
        </w:tc>
        <w:tc>
          <w:tcPr>
            <w:tcW w:w="1980" w:type="dxa"/>
          </w:tcPr>
          <w:p w14:paraId="553042FC"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Lower</w:t>
            </w:r>
          </w:p>
        </w:tc>
        <w:tc>
          <w:tcPr>
            <w:tcW w:w="1980" w:type="dxa"/>
          </w:tcPr>
          <w:p w14:paraId="3786973D"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Higher</w:t>
            </w:r>
          </w:p>
        </w:tc>
        <w:tc>
          <w:tcPr>
            <w:tcW w:w="1980" w:type="dxa"/>
          </w:tcPr>
          <w:p w14:paraId="4164C2E5"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Moderate</w:t>
            </w:r>
          </w:p>
        </w:tc>
      </w:tr>
      <w:tr w:rsidR="00FE6C8B" w:rsidRPr="00FE6C8B" w14:paraId="555C1571" w14:textId="77777777">
        <w:tc>
          <w:tcPr>
            <w:tcW w:w="1980" w:type="dxa"/>
          </w:tcPr>
          <w:p w14:paraId="7613E820"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Cost-Effectiveness</w:t>
            </w:r>
          </w:p>
        </w:tc>
        <w:tc>
          <w:tcPr>
            <w:tcW w:w="1980" w:type="dxa"/>
          </w:tcPr>
          <w:p w14:paraId="74BD0CC8"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Poor (enforcement + health costs)</w:t>
            </w:r>
          </w:p>
        </w:tc>
        <w:tc>
          <w:tcPr>
            <w:tcW w:w="1980" w:type="dxa"/>
          </w:tcPr>
          <w:p w14:paraId="13A049EC"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Excellent (prevention ROI)</w:t>
            </w:r>
          </w:p>
        </w:tc>
        <w:tc>
          <w:tcPr>
            <w:tcW w:w="1980" w:type="dxa"/>
          </w:tcPr>
          <w:p w14:paraId="0740A08E"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Moderate-Strong</w:t>
            </w:r>
          </w:p>
        </w:tc>
      </w:tr>
    </w:tbl>
    <w:p w14:paraId="4FB857AD" w14:textId="77777777" w:rsidR="00FE6C8B" w:rsidRDefault="00FE6C8B">
      <w:pPr>
        <w:pStyle w:val="a0"/>
        <w:rPr>
          <w:rFonts w:ascii="Times New Roman" w:hAnsi="Times New Roman" w:cs="Times New Roman"/>
          <w:i/>
          <w:iCs/>
        </w:rPr>
      </w:pPr>
    </w:p>
    <w:p w14:paraId="54F13394" w14:textId="77777777" w:rsidR="00FE6C8B" w:rsidRDefault="00FE6C8B">
      <w:pPr>
        <w:pStyle w:val="a0"/>
        <w:rPr>
          <w:rFonts w:ascii="Times New Roman" w:hAnsi="Times New Roman" w:cs="Times New Roman"/>
          <w:i/>
          <w:iCs/>
        </w:rPr>
      </w:pPr>
    </w:p>
    <w:p w14:paraId="7E08FE48" w14:textId="77777777" w:rsidR="00FE6C8B" w:rsidRDefault="00FE6C8B">
      <w:pPr>
        <w:pStyle w:val="a0"/>
        <w:rPr>
          <w:rFonts w:ascii="Times New Roman" w:hAnsi="Times New Roman" w:cs="Times New Roman"/>
          <w:i/>
          <w:iCs/>
        </w:rPr>
      </w:pPr>
    </w:p>
    <w:p w14:paraId="174494AB" w14:textId="77777777" w:rsidR="00FE6C8B" w:rsidRDefault="00FE6C8B">
      <w:pPr>
        <w:pStyle w:val="a0"/>
        <w:rPr>
          <w:rFonts w:ascii="Times New Roman" w:hAnsi="Times New Roman" w:cs="Times New Roman"/>
          <w:i/>
          <w:iCs/>
        </w:rPr>
      </w:pPr>
    </w:p>
    <w:p w14:paraId="7D3E5A91" w14:textId="77777777" w:rsidR="00FE6C8B" w:rsidRDefault="00FE6C8B">
      <w:pPr>
        <w:pStyle w:val="a0"/>
        <w:rPr>
          <w:rFonts w:ascii="Times New Roman" w:hAnsi="Times New Roman" w:cs="Times New Roman"/>
          <w:i/>
          <w:iCs/>
        </w:rPr>
      </w:pPr>
    </w:p>
    <w:p w14:paraId="20E8FB6B" w14:textId="77777777" w:rsidR="00FE6C8B" w:rsidRDefault="00FE6C8B">
      <w:pPr>
        <w:pStyle w:val="a0"/>
        <w:rPr>
          <w:rFonts w:ascii="Times New Roman" w:hAnsi="Times New Roman" w:cs="Times New Roman"/>
          <w:i/>
          <w:iCs/>
        </w:rPr>
      </w:pPr>
    </w:p>
    <w:p w14:paraId="58970582" w14:textId="77777777" w:rsidR="00FE6C8B" w:rsidRDefault="00FE6C8B">
      <w:pPr>
        <w:pStyle w:val="a0"/>
        <w:rPr>
          <w:rFonts w:ascii="Times New Roman" w:hAnsi="Times New Roman" w:cs="Times New Roman"/>
          <w:i/>
          <w:iCs/>
        </w:rPr>
      </w:pPr>
    </w:p>
    <w:p w14:paraId="0BA480DC" w14:textId="77777777" w:rsidR="00FE6C8B" w:rsidRDefault="00FE6C8B">
      <w:pPr>
        <w:pStyle w:val="a0"/>
        <w:rPr>
          <w:rFonts w:ascii="Times New Roman" w:hAnsi="Times New Roman" w:cs="Times New Roman"/>
          <w:i/>
          <w:iCs/>
        </w:rPr>
      </w:pPr>
    </w:p>
    <w:p w14:paraId="57EBE32B" w14:textId="77777777" w:rsidR="00FE6C8B" w:rsidRDefault="00FE6C8B">
      <w:pPr>
        <w:pStyle w:val="a0"/>
        <w:rPr>
          <w:rFonts w:ascii="Times New Roman" w:hAnsi="Times New Roman" w:cs="Times New Roman"/>
          <w:i/>
          <w:iCs/>
        </w:rPr>
      </w:pPr>
    </w:p>
    <w:p w14:paraId="5914E5CA" w14:textId="77777777" w:rsidR="00FE6C8B" w:rsidRDefault="00FE6C8B">
      <w:pPr>
        <w:pStyle w:val="a0"/>
        <w:rPr>
          <w:rFonts w:ascii="Times New Roman" w:hAnsi="Times New Roman" w:cs="Times New Roman"/>
          <w:i/>
          <w:iCs/>
        </w:rPr>
      </w:pPr>
    </w:p>
    <w:p w14:paraId="1BBDF644" w14:textId="77777777" w:rsidR="00FE6C8B" w:rsidRDefault="00FE6C8B">
      <w:pPr>
        <w:pStyle w:val="a0"/>
        <w:rPr>
          <w:rFonts w:ascii="Times New Roman" w:hAnsi="Times New Roman" w:cs="Times New Roman"/>
          <w:i/>
          <w:iCs/>
        </w:rPr>
      </w:pPr>
    </w:p>
    <w:p w14:paraId="6C8FE762" w14:textId="77777777" w:rsidR="00FE6C8B" w:rsidRDefault="00FE6C8B">
      <w:pPr>
        <w:pStyle w:val="a0"/>
        <w:rPr>
          <w:rFonts w:ascii="Times New Roman" w:hAnsi="Times New Roman" w:cs="Times New Roman"/>
          <w:i/>
          <w:iCs/>
        </w:rPr>
      </w:pPr>
    </w:p>
    <w:p w14:paraId="635CC6EC" w14:textId="77777777" w:rsidR="00FE6C8B" w:rsidRDefault="00FE6C8B">
      <w:pPr>
        <w:pStyle w:val="a0"/>
        <w:rPr>
          <w:rFonts w:ascii="Times New Roman" w:hAnsi="Times New Roman" w:cs="Times New Roman"/>
          <w:i/>
          <w:iCs/>
        </w:rPr>
      </w:pPr>
    </w:p>
    <w:p w14:paraId="64FDAEB6" w14:textId="77777777" w:rsidR="00FE6C8B" w:rsidRDefault="00FE6C8B">
      <w:pPr>
        <w:pStyle w:val="a0"/>
        <w:rPr>
          <w:rFonts w:ascii="Times New Roman" w:hAnsi="Times New Roman" w:cs="Times New Roman"/>
          <w:i/>
          <w:iCs/>
        </w:rPr>
      </w:pPr>
    </w:p>
    <w:p w14:paraId="48AF702F" w14:textId="7324702E" w:rsidR="009C71E2" w:rsidRPr="00FE6C8B" w:rsidRDefault="00000000">
      <w:pPr>
        <w:pStyle w:val="a0"/>
        <w:rPr>
          <w:rFonts w:ascii="Times New Roman" w:hAnsi="Times New Roman" w:cs="Times New Roman"/>
          <w:b/>
          <w:bCs/>
        </w:rPr>
      </w:pPr>
      <w:r w:rsidRPr="00FE6C8B">
        <w:rPr>
          <w:rFonts w:ascii="Times New Roman" w:hAnsi="Times New Roman" w:cs="Times New Roman"/>
          <w:b/>
          <w:bCs/>
        </w:rPr>
        <w:lastRenderedPageBreak/>
        <w:t>Figure 1: Conceptual Framework - Legal Restrictions and Sexual Health Outcomes</w:t>
      </w:r>
    </w:p>
    <w:p w14:paraId="3A0A7832" w14:textId="2C9C2798" w:rsidR="00FE6C8B" w:rsidRDefault="00FE6C8B">
      <w:pPr>
        <w:pStyle w:val="a0"/>
        <w:rPr>
          <w:rFonts w:ascii="Times New Roman" w:hAnsi="Times New Roman" w:cs="Times New Roman"/>
          <w:i/>
          <w:iCs/>
        </w:rPr>
      </w:pPr>
      <w:r>
        <w:rPr>
          <w:rFonts w:ascii="Times New Roman" w:hAnsi="Times New Roman" w:cs="Times New Roman"/>
          <w:i/>
          <w:iCs/>
          <w:noProof/>
        </w:rPr>
        <w:drawing>
          <wp:inline distT="0" distB="0" distL="0" distR="0" wp14:anchorId="7DA7B02E" wp14:editId="1F1F47A2">
            <wp:extent cx="5486400" cy="4105910"/>
            <wp:effectExtent l="0" t="0" r="0" b="0"/>
            <wp:docPr id="931191833"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91833" name="图片 1" descr="图示&#10;&#10;AI 生成的内容可能不正确。"/>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4105910"/>
                    </a:xfrm>
                    <a:prstGeom prst="rect">
                      <a:avLst/>
                    </a:prstGeom>
                  </pic:spPr>
                </pic:pic>
              </a:graphicData>
            </a:graphic>
          </wp:inline>
        </w:drawing>
      </w:r>
    </w:p>
    <w:p w14:paraId="504EF85A" w14:textId="77777777" w:rsidR="00FE6C8B" w:rsidRDefault="00FE6C8B">
      <w:pPr>
        <w:pStyle w:val="a0"/>
        <w:rPr>
          <w:rFonts w:ascii="Times New Roman" w:hAnsi="Times New Roman" w:cs="Times New Roman"/>
          <w:b/>
          <w:bCs/>
        </w:rPr>
      </w:pPr>
    </w:p>
    <w:p w14:paraId="4274EE13" w14:textId="77777777" w:rsidR="00FE6C8B" w:rsidRDefault="00FE6C8B">
      <w:pPr>
        <w:pStyle w:val="a0"/>
        <w:rPr>
          <w:rFonts w:ascii="Times New Roman" w:hAnsi="Times New Roman" w:cs="Times New Roman"/>
          <w:b/>
          <w:bCs/>
        </w:rPr>
      </w:pPr>
    </w:p>
    <w:p w14:paraId="59604C0D" w14:textId="77777777" w:rsidR="00FE6C8B" w:rsidRDefault="00FE6C8B">
      <w:pPr>
        <w:pStyle w:val="a0"/>
        <w:rPr>
          <w:rFonts w:ascii="Times New Roman" w:hAnsi="Times New Roman" w:cs="Times New Roman"/>
          <w:b/>
          <w:bCs/>
        </w:rPr>
      </w:pPr>
    </w:p>
    <w:p w14:paraId="1EC39CF9" w14:textId="77777777" w:rsidR="00FE6C8B" w:rsidRDefault="00FE6C8B">
      <w:pPr>
        <w:pStyle w:val="a0"/>
        <w:rPr>
          <w:rFonts w:ascii="Times New Roman" w:hAnsi="Times New Roman" w:cs="Times New Roman"/>
          <w:b/>
          <w:bCs/>
        </w:rPr>
      </w:pPr>
    </w:p>
    <w:p w14:paraId="60248342" w14:textId="77777777" w:rsidR="00FE6C8B" w:rsidRDefault="00FE6C8B">
      <w:pPr>
        <w:pStyle w:val="a0"/>
        <w:rPr>
          <w:rFonts w:ascii="Times New Roman" w:hAnsi="Times New Roman" w:cs="Times New Roman"/>
          <w:b/>
          <w:bCs/>
        </w:rPr>
      </w:pPr>
    </w:p>
    <w:p w14:paraId="05B58FDD" w14:textId="77777777" w:rsidR="00FE6C8B" w:rsidRDefault="00FE6C8B">
      <w:pPr>
        <w:pStyle w:val="a0"/>
        <w:rPr>
          <w:rFonts w:ascii="Times New Roman" w:hAnsi="Times New Roman" w:cs="Times New Roman"/>
          <w:b/>
          <w:bCs/>
        </w:rPr>
      </w:pPr>
    </w:p>
    <w:p w14:paraId="7D2F12F1" w14:textId="77777777" w:rsidR="00FE6C8B" w:rsidRDefault="00FE6C8B">
      <w:pPr>
        <w:pStyle w:val="a0"/>
        <w:rPr>
          <w:rFonts w:ascii="Times New Roman" w:hAnsi="Times New Roman" w:cs="Times New Roman"/>
          <w:b/>
          <w:bCs/>
        </w:rPr>
      </w:pPr>
    </w:p>
    <w:p w14:paraId="3E54EB72" w14:textId="77777777" w:rsidR="00FE6C8B" w:rsidRDefault="00FE6C8B">
      <w:pPr>
        <w:pStyle w:val="a0"/>
        <w:rPr>
          <w:rFonts w:ascii="Times New Roman" w:hAnsi="Times New Roman" w:cs="Times New Roman"/>
          <w:b/>
          <w:bCs/>
        </w:rPr>
      </w:pPr>
    </w:p>
    <w:p w14:paraId="5F707034" w14:textId="77777777" w:rsidR="00FE6C8B" w:rsidRDefault="00FE6C8B">
      <w:pPr>
        <w:pStyle w:val="a0"/>
        <w:rPr>
          <w:rFonts w:ascii="Times New Roman" w:hAnsi="Times New Roman" w:cs="Times New Roman"/>
          <w:b/>
          <w:bCs/>
        </w:rPr>
      </w:pPr>
    </w:p>
    <w:p w14:paraId="06B89BED" w14:textId="77777777" w:rsidR="00FE6C8B" w:rsidRDefault="00FE6C8B">
      <w:pPr>
        <w:pStyle w:val="a0"/>
        <w:rPr>
          <w:rFonts w:ascii="Times New Roman" w:hAnsi="Times New Roman" w:cs="Times New Roman"/>
          <w:b/>
          <w:bCs/>
        </w:rPr>
      </w:pPr>
    </w:p>
    <w:p w14:paraId="584E9CCD" w14:textId="77777777" w:rsidR="00FE6C8B" w:rsidRDefault="00FE6C8B">
      <w:pPr>
        <w:pStyle w:val="a0"/>
        <w:rPr>
          <w:rFonts w:ascii="Times New Roman" w:hAnsi="Times New Roman" w:cs="Times New Roman"/>
          <w:b/>
          <w:bCs/>
        </w:rPr>
      </w:pPr>
    </w:p>
    <w:p w14:paraId="34B6D226" w14:textId="77777777" w:rsidR="00FE6C8B" w:rsidRDefault="00FE6C8B">
      <w:pPr>
        <w:pStyle w:val="a0"/>
        <w:rPr>
          <w:rFonts w:ascii="Times New Roman" w:hAnsi="Times New Roman" w:cs="Times New Roman"/>
          <w:b/>
          <w:bCs/>
        </w:rPr>
      </w:pPr>
    </w:p>
    <w:p w14:paraId="3B2D3738" w14:textId="77777777" w:rsidR="00FE6C8B" w:rsidRDefault="00FE6C8B">
      <w:pPr>
        <w:pStyle w:val="a0"/>
        <w:rPr>
          <w:rFonts w:ascii="Times New Roman" w:hAnsi="Times New Roman" w:cs="Times New Roman"/>
          <w:b/>
          <w:bCs/>
        </w:rPr>
      </w:pPr>
    </w:p>
    <w:p w14:paraId="0CF2C3B5" w14:textId="64A8CF7F" w:rsidR="009C71E2" w:rsidRPr="00FE6C8B" w:rsidRDefault="00000000">
      <w:pPr>
        <w:pStyle w:val="a0"/>
        <w:rPr>
          <w:rFonts w:ascii="Times New Roman" w:hAnsi="Times New Roman" w:cs="Times New Roman"/>
        </w:rPr>
      </w:pPr>
      <w:r w:rsidRPr="00FE6C8B">
        <w:rPr>
          <w:rFonts w:ascii="Times New Roman" w:hAnsi="Times New Roman" w:cs="Times New Roman"/>
          <w:b/>
          <w:bCs/>
        </w:rPr>
        <w:lastRenderedPageBreak/>
        <w:t>Table 3: Recommended Policy Reform Components and Implementation Framework</w:t>
      </w:r>
    </w:p>
    <w:tbl>
      <w:tblPr>
        <w:tblStyle w:val="Table"/>
        <w:tblW w:w="5000" w:type="pct"/>
        <w:tblLayout w:type="fixed"/>
        <w:tblLook w:val="0020" w:firstRow="1" w:lastRow="0" w:firstColumn="0" w:lastColumn="0" w:noHBand="0" w:noVBand="0"/>
      </w:tblPr>
      <w:tblGrid>
        <w:gridCol w:w="1728"/>
        <w:gridCol w:w="1728"/>
        <w:gridCol w:w="1728"/>
        <w:gridCol w:w="1728"/>
        <w:gridCol w:w="1728"/>
      </w:tblGrid>
      <w:tr w:rsidR="00FE6C8B" w:rsidRPr="00FE6C8B" w14:paraId="107423D6" w14:textId="77777777" w:rsidTr="009C71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84ABE16"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Reform Component</w:t>
            </w:r>
          </w:p>
        </w:tc>
        <w:tc>
          <w:tcPr>
            <w:tcW w:w="1584" w:type="dxa"/>
          </w:tcPr>
          <w:p w14:paraId="466B28D6"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Priority Level</w:t>
            </w:r>
          </w:p>
        </w:tc>
        <w:tc>
          <w:tcPr>
            <w:tcW w:w="1584" w:type="dxa"/>
          </w:tcPr>
          <w:p w14:paraId="180A613A"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Implementation Phase</w:t>
            </w:r>
          </w:p>
        </w:tc>
        <w:tc>
          <w:tcPr>
            <w:tcW w:w="1584" w:type="dxa"/>
          </w:tcPr>
          <w:p w14:paraId="6140AC7C"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Key Stakeholders</w:t>
            </w:r>
          </w:p>
        </w:tc>
        <w:tc>
          <w:tcPr>
            <w:tcW w:w="1584" w:type="dxa"/>
          </w:tcPr>
          <w:p w14:paraId="0925F6A7"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Success Indicators</w:t>
            </w:r>
          </w:p>
        </w:tc>
      </w:tr>
      <w:tr w:rsidR="00FE6C8B" w:rsidRPr="00FE6C8B" w14:paraId="22A59A58" w14:textId="77777777">
        <w:tc>
          <w:tcPr>
            <w:tcW w:w="1584" w:type="dxa"/>
          </w:tcPr>
          <w:p w14:paraId="528F80F0"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Legislative reclassification</w:t>
            </w:r>
          </w:p>
        </w:tc>
        <w:tc>
          <w:tcPr>
            <w:tcW w:w="1584" w:type="dxa"/>
          </w:tcPr>
          <w:p w14:paraId="665259DE"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High</w:t>
            </w:r>
          </w:p>
        </w:tc>
        <w:tc>
          <w:tcPr>
            <w:tcW w:w="1584" w:type="dxa"/>
          </w:tcPr>
          <w:p w14:paraId="004E7BF5"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Phase 1 (0-6 months)</w:t>
            </w:r>
          </w:p>
        </w:tc>
        <w:tc>
          <w:tcPr>
            <w:tcW w:w="1584" w:type="dxa"/>
          </w:tcPr>
          <w:p w14:paraId="5DF62577"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Legislature, DOJ, legal experts</w:t>
            </w:r>
          </w:p>
        </w:tc>
        <w:tc>
          <w:tcPr>
            <w:tcW w:w="1584" w:type="dxa"/>
          </w:tcPr>
          <w:p w14:paraId="470840AA"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Enacted legislation</w:t>
            </w:r>
          </w:p>
        </w:tc>
      </w:tr>
      <w:tr w:rsidR="00FE6C8B" w:rsidRPr="00FE6C8B" w14:paraId="75B35016" w14:textId="77777777">
        <w:tc>
          <w:tcPr>
            <w:tcW w:w="1584" w:type="dxa"/>
          </w:tcPr>
          <w:p w14:paraId="461EDA9D"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Educational protections</w:t>
            </w:r>
          </w:p>
        </w:tc>
        <w:tc>
          <w:tcPr>
            <w:tcW w:w="1584" w:type="dxa"/>
          </w:tcPr>
          <w:p w14:paraId="28B59F2A"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High</w:t>
            </w:r>
          </w:p>
        </w:tc>
        <w:tc>
          <w:tcPr>
            <w:tcW w:w="1584" w:type="dxa"/>
          </w:tcPr>
          <w:p w14:paraId="5AA7D7D6"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Phase 1 (0-6 months)</w:t>
            </w:r>
          </w:p>
        </w:tc>
        <w:tc>
          <w:tcPr>
            <w:tcW w:w="1584" w:type="dxa"/>
          </w:tcPr>
          <w:p w14:paraId="741014D1" w14:textId="77777777" w:rsidR="009C71E2" w:rsidRPr="00FE6C8B" w:rsidRDefault="00000000">
            <w:pPr>
              <w:pStyle w:val="Compact"/>
              <w:rPr>
                <w:rFonts w:ascii="Times New Roman" w:hAnsi="Times New Roman" w:cs="Times New Roman"/>
              </w:rPr>
            </w:pPr>
            <w:proofErr w:type="gramStart"/>
            <w:r w:rsidRPr="00FE6C8B">
              <w:rPr>
                <w:rFonts w:ascii="Times New Roman" w:hAnsi="Times New Roman" w:cs="Times New Roman"/>
              </w:rPr>
              <w:t>Healthcare,</w:t>
            </w:r>
            <w:proofErr w:type="gramEnd"/>
            <w:r w:rsidRPr="00FE6C8B">
              <w:rPr>
                <w:rFonts w:ascii="Times New Roman" w:hAnsi="Times New Roman" w:cs="Times New Roman"/>
              </w:rPr>
              <w:t xml:space="preserve"> education sectors</w:t>
            </w:r>
          </w:p>
        </w:tc>
        <w:tc>
          <w:tcPr>
            <w:tcW w:w="1584" w:type="dxa"/>
          </w:tcPr>
          <w:p w14:paraId="27FB7B3B"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Clear legal guidance</w:t>
            </w:r>
          </w:p>
        </w:tc>
      </w:tr>
      <w:tr w:rsidR="00FE6C8B" w:rsidRPr="00FE6C8B" w14:paraId="6BFA2CA8" w14:textId="77777777">
        <w:tc>
          <w:tcPr>
            <w:tcW w:w="1584" w:type="dxa"/>
          </w:tcPr>
          <w:p w14:paraId="7B144B08"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Comprehensive education programs</w:t>
            </w:r>
          </w:p>
        </w:tc>
        <w:tc>
          <w:tcPr>
            <w:tcW w:w="1584" w:type="dxa"/>
          </w:tcPr>
          <w:p w14:paraId="548F799A"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High</w:t>
            </w:r>
          </w:p>
        </w:tc>
        <w:tc>
          <w:tcPr>
            <w:tcW w:w="1584" w:type="dxa"/>
          </w:tcPr>
          <w:p w14:paraId="1F38E0FD"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Phase 2 (6-18 months)</w:t>
            </w:r>
          </w:p>
        </w:tc>
        <w:tc>
          <w:tcPr>
            <w:tcW w:w="1584" w:type="dxa"/>
          </w:tcPr>
          <w:p w14:paraId="641C0DCB"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Health Department, educators, NGOs</w:t>
            </w:r>
          </w:p>
        </w:tc>
        <w:tc>
          <w:tcPr>
            <w:tcW w:w="1584" w:type="dxa"/>
          </w:tcPr>
          <w:p w14:paraId="234A1451"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Program availability</w:t>
            </w:r>
          </w:p>
        </w:tc>
      </w:tr>
      <w:tr w:rsidR="00FE6C8B" w:rsidRPr="00FE6C8B" w14:paraId="6587CF05" w14:textId="77777777">
        <w:tc>
          <w:tcPr>
            <w:tcW w:w="1584" w:type="dxa"/>
          </w:tcPr>
          <w:p w14:paraId="779022F0"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Access enhancement</w:t>
            </w:r>
          </w:p>
        </w:tc>
        <w:tc>
          <w:tcPr>
            <w:tcW w:w="1584" w:type="dxa"/>
          </w:tcPr>
          <w:p w14:paraId="6F993F68"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Medium-High</w:t>
            </w:r>
          </w:p>
        </w:tc>
        <w:tc>
          <w:tcPr>
            <w:tcW w:w="1584" w:type="dxa"/>
          </w:tcPr>
          <w:p w14:paraId="65225A1C"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Phase 2 (6-18 months)</w:t>
            </w:r>
          </w:p>
        </w:tc>
        <w:tc>
          <w:tcPr>
            <w:tcW w:w="1584" w:type="dxa"/>
          </w:tcPr>
          <w:p w14:paraId="71E7E293"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Healthcare facilities, retailers</w:t>
            </w:r>
          </w:p>
        </w:tc>
        <w:tc>
          <w:tcPr>
            <w:tcW w:w="1584" w:type="dxa"/>
          </w:tcPr>
          <w:p w14:paraId="67EC0BA6"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Distribution metrics</w:t>
            </w:r>
          </w:p>
        </w:tc>
      </w:tr>
      <w:tr w:rsidR="00FE6C8B" w:rsidRPr="00FE6C8B" w14:paraId="6C6939D4" w14:textId="77777777">
        <w:tc>
          <w:tcPr>
            <w:tcW w:w="1584" w:type="dxa"/>
          </w:tcPr>
          <w:p w14:paraId="261DEC5A"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Primary care integration</w:t>
            </w:r>
          </w:p>
        </w:tc>
        <w:tc>
          <w:tcPr>
            <w:tcW w:w="1584" w:type="dxa"/>
          </w:tcPr>
          <w:p w14:paraId="650103FF"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Medium</w:t>
            </w:r>
          </w:p>
        </w:tc>
        <w:tc>
          <w:tcPr>
            <w:tcW w:w="1584" w:type="dxa"/>
          </w:tcPr>
          <w:p w14:paraId="73033C87"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Phase 3 (12-24 months)</w:t>
            </w:r>
          </w:p>
        </w:tc>
        <w:tc>
          <w:tcPr>
            <w:tcW w:w="1584" w:type="dxa"/>
          </w:tcPr>
          <w:p w14:paraId="5E3600A6"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Healthcare system, providers</w:t>
            </w:r>
          </w:p>
        </w:tc>
        <w:tc>
          <w:tcPr>
            <w:tcW w:w="1584" w:type="dxa"/>
          </w:tcPr>
          <w:p w14:paraId="58C3D903"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Service utilization</w:t>
            </w:r>
          </w:p>
        </w:tc>
      </w:tr>
      <w:tr w:rsidR="00FE6C8B" w:rsidRPr="00FE6C8B" w14:paraId="5BCB0121" w14:textId="77777777">
        <w:tc>
          <w:tcPr>
            <w:tcW w:w="1584" w:type="dxa"/>
          </w:tcPr>
          <w:p w14:paraId="1BDC6FE1"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Public education campaign</w:t>
            </w:r>
          </w:p>
        </w:tc>
        <w:tc>
          <w:tcPr>
            <w:tcW w:w="1584" w:type="dxa"/>
          </w:tcPr>
          <w:p w14:paraId="72BCD9EF"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Medium</w:t>
            </w:r>
          </w:p>
        </w:tc>
        <w:tc>
          <w:tcPr>
            <w:tcW w:w="1584" w:type="dxa"/>
          </w:tcPr>
          <w:p w14:paraId="5201A5CD"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Phases 2-3 (ongoing)</w:t>
            </w:r>
          </w:p>
        </w:tc>
        <w:tc>
          <w:tcPr>
            <w:tcW w:w="1584" w:type="dxa"/>
          </w:tcPr>
          <w:p w14:paraId="24428C9B"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Media, government, civil society</w:t>
            </w:r>
          </w:p>
        </w:tc>
        <w:tc>
          <w:tcPr>
            <w:tcW w:w="1584" w:type="dxa"/>
          </w:tcPr>
          <w:p w14:paraId="2818D5B3"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Attitude change</w:t>
            </w:r>
          </w:p>
        </w:tc>
      </w:tr>
      <w:tr w:rsidR="00FE6C8B" w:rsidRPr="00FE6C8B" w14:paraId="7E7A28AA" w14:textId="77777777">
        <w:tc>
          <w:tcPr>
            <w:tcW w:w="1584" w:type="dxa"/>
          </w:tcPr>
          <w:p w14:paraId="15F7254F"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Provider training</w:t>
            </w:r>
          </w:p>
        </w:tc>
        <w:tc>
          <w:tcPr>
            <w:tcW w:w="1584" w:type="dxa"/>
          </w:tcPr>
          <w:p w14:paraId="455F04C4"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Medium-High</w:t>
            </w:r>
          </w:p>
        </w:tc>
        <w:tc>
          <w:tcPr>
            <w:tcW w:w="1584" w:type="dxa"/>
          </w:tcPr>
          <w:p w14:paraId="6946AE77"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Phases 2-3 (ongoing)</w:t>
            </w:r>
          </w:p>
        </w:tc>
        <w:tc>
          <w:tcPr>
            <w:tcW w:w="1584" w:type="dxa"/>
          </w:tcPr>
          <w:p w14:paraId="579FEE36"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Medical education, professional bodies</w:t>
            </w:r>
          </w:p>
        </w:tc>
        <w:tc>
          <w:tcPr>
            <w:tcW w:w="1584" w:type="dxa"/>
          </w:tcPr>
          <w:p w14:paraId="2D82656F"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Competency assessments</w:t>
            </w:r>
          </w:p>
        </w:tc>
      </w:tr>
      <w:tr w:rsidR="00FE6C8B" w:rsidRPr="00FE6C8B" w14:paraId="711CAF1D" w14:textId="77777777">
        <w:tc>
          <w:tcPr>
            <w:tcW w:w="1584" w:type="dxa"/>
          </w:tcPr>
          <w:p w14:paraId="2F76FDB1"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Monitoring framework</w:t>
            </w:r>
          </w:p>
        </w:tc>
        <w:tc>
          <w:tcPr>
            <w:tcW w:w="1584" w:type="dxa"/>
          </w:tcPr>
          <w:p w14:paraId="02EF3391"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High</w:t>
            </w:r>
          </w:p>
        </w:tc>
        <w:tc>
          <w:tcPr>
            <w:tcW w:w="1584" w:type="dxa"/>
          </w:tcPr>
          <w:p w14:paraId="2D99E0FF"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Phase 1 (immediate)</w:t>
            </w:r>
          </w:p>
        </w:tc>
        <w:tc>
          <w:tcPr>
            <w:tcW w:w="1584" w:type="dxa"/>
          </w:tcPr>
          <w:p w14:paraId="03596DA3"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Public health authorities, researchers</w:t>
            </w:r>
          </w:p>
        </w:tc>
        <w:tc>
          <w:tcPr>
            <w:tcW w:w="1584" w:type="dxa"/>
          </w:tcPr>
          <w:p w14:paraId="18CFA5EA"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Data systems operational</w:t>
            </w:r>
          </w:p>
        </w:tc>
      </w:tr>
      <w:tr w:rsidR="00FE6C8B" w:rsidRPr="00FE6C8B" w14:paraId="508ADBCC" w14:textId="77777777">
        <w:tc>
          <w:tcPr>
            <w:tcW w:w="1584" w:type="dxa"/>
          </w:tcPr>
          <w:p w14:paraId="7476D2B5"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Pilot program evaluation</w:t>
            </w:r>
          </w:p>
        </w:tc>
        <w:tc>
          <w:tcPr>
            <w:tcW w:w="1584" w:type="dxa"/>
          </w:tcPr>
          <w:p w14:paraId="0D7E6E9B"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High</w:t>
            </w:r>
          </w:p>
        </w:tc>
        <w:tc>
          <w:tcPr>
            <w:tcW w:w="1584" w:type="dxa"/>
          </w:tcPr>
          <w:p w14:paraId="4665E5BB"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Phase 2 (6-18 months)</w:t>
            </w:r>
          </w:p>
        </w:tc>
        <w:tc>
          <w:tcPr>
            <w:tcW w:w="1584" w:type="dxa"/>
          </w:tcPr>
          <w:p w14:paraId="4E2B2454"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Research institutions, stakeholders</w:t>
            </w:r>
          </w:p>
        </w:tc>
        <w:tc>
          <w:tcPr>
            <w:tcW w:w="1584" w:type="dxa"/>
          </w:tcPr>
          <w:p w14:paraId="681D8BD8"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Evaluation reports</w:t>
            </w:r>
          </w:p>
        </w:tc>
      </w:tr>
      <w:tr w:rsidR="00FE6C8B" w:rsidRPr="00FE6C8B" w14:paraId="12D3AA2F" w14:textId="77777777">
        <w:tc>
          <w:tcPr>
            <w:tcW w:w="1584" w:type="dxa"/>
          </w:tcPr>
          <w:p w14:paraId="7A1F0463"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Scale-up and refinement</w:t>
            </w:r>
          </w:p>
        </w:tc>
        <w:tc>
          <w:tcPr>
            <w:tcW w:w="1584" w:type="dxa"/>
          </w:tcPr>
          <w:p w14:paraId="12F83DA8"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Medium</w:t>
            </w:r>
          </w:p>
        </w:tc>
        <w:tc>
          <w:tcPr>
            <w:tcW w:w="1584" w:type="dxa"/>
          </w:tcPr>
          <w:p w14:paraId="58621AE4"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Phase 3 (18-36 months)</w:t>
            </w:r>
          </w:p>
        </w:tc>
        <w:tc>
          <w:tcPr>
            <w:tcW w:w="1584" w:type="dxa"/>
          </w:tcPr>
          <w:p w14:paraId="46AE73E5"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All stakeholders</w:t>
            </w:r>
          </w:p>
        </w:tc>
        <w:tc>
          <w:tcPr>
            <w:tcW w:w="1584" w:type="dxa"/>
          </w:tcPr>
          <w:p w14:paraId="2DA0F494" w14:textId="77777777" w:rsidR="009C71E2" w:rsidRPr="00FE6C8B" w:rsidRDefault="00000000">
            <w:pPr>
              <w:pStyle w:val="Compact"/>
              <w:rPr>
                <w:rFonts w:ascii="Times New Roman" w:hAnsi="Times New Roman" w:cs="Times New Roman"/>
              </w:rPr>
            </w:pPr>
            <w:r w:rsidRPr="00FE6C8B">
              <w:rPr>
                <w:rFonts w:ascii="Times New Roman" w:hAnsi="Times New Roman" w:cs="Times New Roman"/>
              </w:rPr>
              <w:t>Population coverage</w:t>
            </w:r>
          </w:p>
        </w:tc>
      </w:tr>
    </w:tbl>
    <w:p w14:paraId="594869AE" w14:textId="77777777" w:rsidR="00FE6C8B" w:rsidRDefault="00FE6C8B">
      <w:pPr>
        <w:pStyle w:val="2"/>
        <w:rPr>
          <w:lang w:val="en-CA"/>
        </w:rPr>
      </w:pPr>
      <w:bookmarkStart w:id="30" w:name="references"/>
      <w:bookmarkEnd w:id="29"/>
    </w:p>
    <w:p w14:paraId="78EF9F31" w14:textId="77777777" w:rsidR="00FE6C8B" w:rsidRPr="00FE6C8B" w:rsidRDefault="00FE6C8B" w:rsidP="00FE6C8B">
      <w:pPr>
        <w:pStyle w:val="a0"/>
        <w:rPr>
          <w:lang w:val="en-CA"/>
        </w:rPr>
      </w:pPr>
    </w:p>
    <w:p w14:paraId="5C1AB047" w14:textId="410433EA" w:rsidR="009C71E2" w:rsidRPr="00FE6C8B" w:rsidRDefault="00000000" w:rsidP="00FE6C8B">
      <w:pPr>
        <w:pStyle w:val="2"/>
        <w:spacing w:line="360" w:lineRule="auto"/>
        <w:jc w:val="both"/>
        <w:rPr>
          <w:rFonts w:ascii="Times New Roman" w:hAnsi="Times New Roman" w:cs="Times New Roman"/>
          <w:b/>
          <w:bCs/>
          <w:color w:val="auto"/>
          <w:sz w:val="24"/>
          <w:szCs w:val="24"/>
        </w:rPr>
      </w:pPr>
      <w:r w:rsidRPr="00FE6C8B">
        <w:rPr>
          <w:rFonts w:ascii="Times New Roman" w:hAnsi="Times New Roman" w:cs="Times New Roman"/>
          <w:b/>
          <w:bCs/>
          <w:color w:val="auto"/>
          <w:sz w:val="24"/>
          <w:szCs w:val="24"/>
        </w:rPr>
        <w:lastRenderedPageBreak/>
        <w:t>References</w:t>
      </w:r>
    </w:p>
    <w:p w14:paraId="06E97787" w14:textId="77777777" w:rsidR="009C71E2" w:rsidRPr="00FE6C8B" w:rsidRDefault="00000000" w:rsidP="00FE6C8B">
      <w:pPr>
        <w:pStyle w:val="a9"/>
        <w:spacing w:line="360" w:lineRule="auto"/>
        <w:jc w:val="both"/>
        <w:rPr>
          <w:rFonts w:ascii="Times New Roman" w:hAnsi="Times New Roman" w:cs="Times New Roman"/>
        </w:rPr>
      </w:pPr>
      <w:bookmarkStart w:id="31" w:name="ref-solanna2016"/>
      <w:bookmarkStart w:id="32" w:name="refs"/>
      <w:r w:rsidRPr="00FE6C8B">
        <w:rPr>
          <w:rFonts w:ascii="Times New Roman" w:hAnsi="Times New Roman" w:cs="Times New Roman"/>
        </w:rPr>
        <w:t xml:space="preserve">Anderson, S., Shannon, K., Li, J., Lee, Y., Chettiar, J., Goldenberg, S., &amp; Krsi, A. (2016). Condoms and sexual health education as evidence: Impact of criminalization of in-call venues and managers on migrant sex workers access to HIV/STI prevention in a canadian setting. </w:t>
      </w:r>
      <w:r w:rsidRPr="00FE6C8B">
        <w:rPr>
          <w:rFonts w:ascii="Times New Roman" w:hAnsi="Times New Roman" w:cs="Times New Roman"/>
          <w:i/>
          <w:iCs/>
        </w:rPr>
        <w:t>BMC International Health and Human Rights</w:t>
      </w:r>
      <w:r w:rsidRPr="00FE6C8B">
        <w:rPr>
          <w:rFonts w:ascii="Times New Roman" w:hAnsi="Times New Roman" w:cs="Times New Roman"/>
        </w:rPr>
        <w:t>.</w:t>
      </w:r>
    </w:p>
    <w:p w14:paraId="459B2074" w14:textId="77777777" w:rsidR="009C71E2" w:rsidRPr="00FE6C8B" w:rsidRDefault="00000000" w:rsidP="00FE6C8B">
      <w:pPr>
        <w:pStyle w:val="a9"/>
        <w:spacing w:line="360" w:lineRule="auto"/>
        <w:jc w:val="both"/>
        <w:rPr>
          <w:rFonts w:ascii="Times New Roman" w:hAnsi="Times New Roman" w:cs="Times New Roman"/>
        </w:rPr>
      </w:pPr>
      <w:bookmarkStart w:id="33" w:name="ref-e2021"/>
      <w:bookmarkEnd w:id="31"/>
      <w:r w:rsidRPr="00FE6C8B">
        <w:rPr>
          <w:rFonts w:ascii="Times New Roman" w:hAnsi="Times New Roman" w:cs="Times New Roman"/>
        </w:rPr>
        <w:t xml:space="preserve">Andres, E. B., Choi, E. P., Fung, A., Lau, K., Ng, N., Yeung, M., &amp; Johnston, J. (2021). Comprehensive sexuality education in hong kong: Study protocol for process and outcome evaluation. </w:t>
      </w:r>
      <w:r w:rsidRPr="00FE6C8B">
        <w:rPr>
          <w:rFonts w:ascii="Times New Roman" w:hAnsi="Times New Roman" w:cs="Times New Roman"/>
          <w:i/>
          <w:iCs/>
        </w:rPr>
        <w:t>BMC Public Health</w:t>
      </w:r>
      <w:r w:rsidRPr="00FE6C8B">
        <w:rPr>
          <w:rFonts w:ascii="Times New Roman" w:hAnsi="Times New Roman" w:cs="Times New Roman"/>
        </w:rPr>
        <w:t>.</w:t>
      </w:r>
    </w:p>
    <w:p w14:paraId="6B38D4A2" w14:textId="77777777" w:rsidR="009C71E2" w:rsidRPr="00FE6C8B" w:rsidRDefault="00000000" w:rsidP="00FE6C8B">
      <w:pPr>
        <w:pStyle w:val="a9"/>
        <w:spacing w:line="360" w:lineRule="auto"/>
        <w:jc w:val="both"/>
        <w:rPr>
          <w:rFonts w:ascii="Times New Roman" w:hAnsi="Times New Roman" w:cs="Times New Roman"/>
        </w:rPr>
      </w:pPr>
      <w:bookmarkStart w:id="34" w:name="ref-phil2005"/>
      <w:bookmarkEnd w:id="33"/>
      <w:r w:rsidRPr="00FE6C8B">
        <w:rPr>
          <w:rFonts w:ascii="Times New Roman" w:hAnsi="Times New Roman" w:cs="Times New Roman"/>
        </w:rPr>
        <w:t xml:space="preserve">Chan, P. C. W. (2005). The lack of sexual orientation anti-discrimination legislation in hong kong: Breach of international and domestic legal obligations. </w:t>
      </w:r>
      <w:r w:rsidRPr="00FE6C8B">
        <w:rPr>
          <w:rFonts w:ascii="Times New Roman" w:hAnsi="Times New Roman" w:cs="Times New Roman"/>
          <w:i/>
          <w:iCs/>
        </w:rPr>
        <w:t>Routledge</w:t>
      </w:r>
      <w:r w:rsidRPr="00FE6C8B">
        <w:rPr>
          <w:rFonts w:ascii="Times New Roman" w:hAnsi="Times New Roman" w:cs="Times New Roman"/>
        </w:rPr>
        <w:t>.</w:t>
      </w:r>
    </w:p>
    <w:p w14:paraId="7E424A87" w14:textId="77777777" w:rsidR="009C71E2" w:rsidRPr="00FE6C8B" w:rsidRDefault="00000000" w:rsidP="00FE6C8B">
      <w:pPr>
        <w:pStyle w:val="a9"/>
        <w:spacing w:line="360" w:lineRule="auto"/>
        <w:jc w:val="both"/>
        <w:rPr>
          <w:rFonts w:ascii="Times New Roman" w:hAnsi="Times New Roman" w:cs="Times New Roman"/>
        </w:rPr>
      </w:pPr>
      <w:bookmarkStart w:id="35" w:name="ref-matthew2013"/>
      <w:bookmarkEnd w:id="34"/>
      <w:r w:rsidRPr="00FE6C8B">
        <w:rPr>
          <w:rFonts w:ascii="Times New Roman" w:hAnsi="Times New Roman" w:cs="Times New Roman"/>
        </w:rPr>
        <w:t xml:space="preserve">Chersich, M., Lchters, S., Ntaganira, I., Gerbase, A., Lo, Y., Scorgie, F., &amp; Steen, R. (2013). Priority interventions to reduce HIV transmission in sex work settings in subSaharan africa and delivery of these services. </w:t>
      </w:r>
      <w:r w:rsidRPr="00FE6C8B">
        <w:rPr>
          <w:rFonts w:ascii="Times New Roman" w:hAnsi="Times New Roman" w:cs="Times New Roman"/>
          <w:i/>
          <w:iCs/>
        </w:rPr>
        <w:t>International AIDS Society</w:t>
      </w:r>
      <w:r w:rsidRPr="00FE6C8B">
        <w:rPr>
          <w:rFonts w:ascii="Times New Roman" w:hAnsi="Times New Roman" w:cs="Times New Roman"/>
        </w:rPr>
        <w:t>.</w:t>
      </w:r>
    </w:p>
    <w:p w14:paraId="50320AAA" w14:textId="77777777" w:rsidR="009C71E2" w:rsidRPr="00FE6C8B" w:rsidRDefault="00000000" w:rsidP="00FE6C8B">
      <w:pPr>
        <w:pStyle w:val="a9"/>
        <w:spacing w:line="360" w:lineRule="auto"/>
        <w:jc w:val="both"/>
        <w:rPr>
          <w:rFonts w:ascii="Times New Roman" w:hAnsi="Times New Roman" w:cs="Times New Roman"/>
        </w:rPr>
      </w:pPr>
      <w:bookmarkStart w:id="36" w:name="ref-h2018"/>
      <w:bookmarkEnd w:id="35"/>
      <w:r w:rsidRPr="00FE6C8B">
        <w:rPr>
          <w:rFonts w:ascii="Times New Roman" w:hAnsi="Times New Roman" w:cs="Times New Roman"/>
        </w:rPr>
        <w:t xml:space="preserve">Choi, H., Jit, M., Leung, G., Tsui, K., &amp; Wu, J. T. (2018). Simultaneously characterizing the comparative economics of routine female adolescent nonavalent human papillomavirus (HPV) vaccination and assortativity of sexual mixing in hong kong chinese: A modeling analysis. </w:t>
      </w:r>
      <w:r w:rsidRPr="00FE6C8B">
        <w:rPr>
          <w:rFonts w:ascii="Times New Roman" w:hAnsi="Times New Roman" w:cs="Times New Roman"/>
          <w:i/>
          <w:iCs/>
        </w:rPr>
        <w:t>BMC Medicine</w:t>
      </w:r>
      <w:r w:rsidRPr="00FE6C8B">
        <w:rPr>
          <w:rFonts w:ascii="Times New Roman" w:hAnsi="Times New Roman" w:cs="Times New Roman"/>
        </w:rPr>
        <w:t>.</w:t>
      </w:r>
    </w:p>
    <w:p w14:paraId="2ACFEBB5" w14:textId="77777777" w:rsidR="009C71E2" w:rsidRPr="00FE6C8B" w:rsidRDefault="00000000" w:rsidP="00FE6C8B">
      <w:pPr>
        <w:pStyle w:val="a9"/>
        <w:spacing w:line="360" w:lineRule="auto"/>
        <w:jc w:val="both"/>
        <w:rPr>
          <w:rFonts w:ascii="Times New Roman" w:hAnsi="Times New Roman" w:cs="Times New Roman"/>
        </w:rPr>
      </w:pPr>
      <w:bookmarkStart w:id="37" w:name="ref-helen2020"/>
      <w:bookmarkEnd w:id="36"/>
      <w:r w:rsidRPr="00FE6C8B">
        <w:rPr>
          <w:rFonts w:ascii="Times New Roman" w:hAnsi="Times New Roman" w:cs="Times New Roman"/>
        </w:rPr>
        <w:t xml:space="preserve">Clark, H., CollSeck, A. M., Banerjee, A., Peterson, S., Dalglish, S. L., Ameratunga, S., Balabanova, D., Bhan, M. K., Bhutta, Z. A., Borrazzo, J., Claeson, M., Doherty, T., ElJardali, F., George, A., Gichaga, A., Gram, L., Hipgrave, D., Kwamie, A., Meng, Q., … Costello, A. (2020). A future for the </w:t>
      </w:r>
      <w:proofErr w:type="gramStart"/>
      <w:r w:rsidRPr="00FE6C8B">
        <w:rPr>
          <w:rFonts w:ascii="Times New Roman" w:hAnsi="Times New Roman" w:cs="Times New Roman"/>
        </w:rPr>
        <w:t>world”s</w:t>
      </w:r>
      <w:proofErr w:type="gramEnd"/>
      <w:r w:rsidRPr="00FE6C8B">
        <w:rPr>
          <w:rFonts w:ascii="Times New Roman" w:hAnsi="Times New Roman" w:cs="Times New Roman"/>
        </w:rPr>
        <w:t xml:space="preserve"> children? A WHOUNICEFLancet commission. </w:t>
      </w:r>
      <w:r w:rsidRPr="00FE6C8B">
        <w:rPr>
          <w:rFonts w:ascii="Times New Roman" w:hAnsi="Times New Roman" w:cs="Times New Roman"/>
          <w:i/>
          <w:iCs/>
        </w:rPr>
        <w:t>Elsevier BV</w:t>
      </w:r>
      <w:r w:rsidRPr="00FE6C8B">
        <w:rPr>
          <w:rFonts w:ascii="Times New Roman" w:hAnsi="Times New Roman" w:cs="Times New Roman"/>
        </w:rPr>
        <w:t>.</w:t>
      </w:r>
    </w:p>
    <w:p w14:paraId="05925154" w14:textId="77777777" w:rsidR="009C71E2" w:rsidRPr="00FE6C8B" w:rsidRDefault="00000000" w:rsidP="00FE6C8B">
      <w:pPr>
        <w:pStyle w:val="a9"/>
        <w:spacing w:line="360" w:lineRule="auto"/>
        <w:jc w:val="both"/>
        <w:rPr>
          <w:rFonts w:ascii="Times New Roman" w:hAnsi="Times New Roman" w:cs="Times New Roman"/>
        </w:rPr>
      </w:pPr>
      <w:bookmarkStart w:id="38" w:name="ref-s2012"/>
      <w:bookmarkEnd w:id="37"/>
      <w:r w:rsidRPr="00FE6C8B">
        <w:rPr>
          <w:rFonts w:ascii="Times New Roman" w:hAnsi="Times New Roman" w:cs="Times New Roman"/>
        </w:rPr>
        <w:t xml:space="preserve">Geibel, S. (2012). Same-sex sexual behavior of men in kenya: Implications for HIV prevention, programs, and policy. </w:t>
      </w:r>
      <w:r w:rsidRPr="00FE6C8B">
        <w:rPr>
          <w:rFonts w:ascii="Times New Roman" w:hAnsi="Times New Roman" w:cs="Times New Roman"/>
          <w:i/>
          <w:iCs/>
        </w:rPr>
        <w:t>Facts, Views &amp; Vision in ObGyn</w:t>
      </w:r>
      <w:r w:rsidRPr="00FE6C8B">
        <w:rPr>
          <w:rFonts w:ascii="Times New Roman" w:hAnsi="Times New Roman" w:cs="Times New Roman"/>
        </w:rPr>
        <w:t>.</w:t>
      </w:r>
    </w:p>
    <w:p w14:paraId="5946BD6F" w14:textId="77777777" w:rsidR="009C71E2" w:rsidRPr="00FE6C8B" w:rsidRDefault="00000000" w:rsidP="00FE6C8B">
      <w:pPr>
        <w:pStyle w:val="a9"/>
        <w:spacing w:line="360" w:lineRule="auto"/>
        <w:jc w:val="both"/>
        <w:rPr>
          <w:rFonts w:ascii="Times New Roman" w:hAnsi="Times New Roman" w:cs="Times New Roman"/>
        </w:rPr>
      </w:pPr>
      <w:bookmarkStart w:id="39" w:name="ref-pamina2002"/>
      <w:bookmarkEnd w:id="38"/>
      <w:r w:rsidRPr="00FE6C8B">
        <w:rPr>
          <w:rFonts w:ascii="Times New Roman" w:hAnsi="Times New Roman" w:cs="Times New Roman"/>
        </w:rPr>
        <w:t xml:space="preserve">Gorbach, P. M., Ryan, C., Saphonn, V., &amp; Detels, R. (2002). The impact of social, economic and political forces on emerging HIV epidemics. </w:t>
      </w:r>
      <w:r w:rsidRPr="00FE6C8B">
        <w:rPr>
          <w:rFonts w:ascii="Times New Roman" w:hAnsi="Times New Roman" w:cs="Times New Roman"/>
          <w:i/>
          <w:iCs/>
        </w:rPr>
        <w:t>Lippincott Williams &amp; Wilkins</w:t>
      </w:r>
      <w:r w:rsidRPr="00FE6C8B">
        <w:rPr>
          <w:rFonts w:ascii="Times New Roman" w:hAnsi="Times New Roman" w:cs="Times New Roman"/>
        </w:rPr>
        <w:t>.</w:t>
      </w:r>
    </w:p>
    <w:p w14:paraId="09DE34D4" w14:textId="77777777" w:rsidR="009C71E2" w:rsidRPr="00FE6C8B" w:rsidRDefault="00000000" w:rsidP="00FE6C8B">
      <w:pPr>
        <w:pStyle w:val="a9"/>
        <w:spacing w:line="360" w:lineRule="auto"/>
        <w:jc w:val="both"/>
        <w:rPr>
          <w:rFonts w:ascii="Times New Roman" w:hAnsi="Times New Roman" w:cs="Times New Roman"/>
        </w:rPr>
      </w:pPr>
      <w:bookmarkStart w:id="40" w:name="ref-n2013"/>
      <w:bookmarkEnd w:id="39"/>
      <w:r w:rsidRPr="00FE6C8B">
        <w:rPr>
          <w:rFonts w:ascii="Times New Roman" w:hAnsi="Times New Roman" w:cs="Times New Roman"/>
        </w:rPr>
        <w:lastRenderedPageBreak/>
        <w:t xml:space="preserve">Greenwood, N., &amp; Wilkinson, J. (2013). Sexual and reproductive health care for women with intellectual disabilities: A primary care perspective. </w:t>
      </w:r>
      <w:r w:rsidRPr="00FE6C8B">
        <w:rPr>
          <w:rFonts w:ascii="Times New Roman" w:hAnsi="Times New Roman" w:cs="Times New Roman"/>
          <w:i/>
          <w:iCs/>
        </w:rPr>
        <w:t>International Journal of Family Medicine</w:t>
      </w:r>
      <w:r w:rsidRPr="00FE6C8B">
        <w:rPr>
          <w:rFonts w:ascii="Times New Roman" w:hAnsi="Times New Roman" w:cs="Times New Roman"/>
        </w:rPr>
        <w:t>.</w:t>
      </w:r>
    </w:p>
    <w:p w14:paraId="2C9D52E7" w14:textId="77777777" w:rsidR="009C71E2" w:rsidRPr="00FE6C8B" w:rsidRDefault="00000000" w:rsidP="00FE6C8B">
      <w:pPr>
        <w:pStyle w:val="a9"/>
        <w:spacing w:line="360" w:lineRule="auto"/>
        <w:jc w:val="both"/>
        <w:rPr>
          <w:rFonts w:ascii="Times New Roman" w:hAnsi="Times New Roman" w:cs="Times New Roman"/>
        </w:rPr>
      </w:pPr>
      <w:bookmarkStart w:id="41" w:name="ref-j2017"/>
      <w:bookmarkEnd w:id="40"/>
      <w:r w:rsidRPr="00FE6C8B">
        <w:rPr>
          <w:rFonts w:ascii="Times New Roman" w:hAnsi="Times New Roman" w:cs="Times New Roman"/>
        </w:rPr>
        <w:t xml:space="preserve">Hunt, J., Bristowe, K., Chidyamatare, S., &amp; Harding, R. (2017). They will be afraid to touch you: LGBTI people and sex workers” experiences of accessing healthcare in zimbabwean in-depth qualitative study. </w:t>
      </w:r>
      <w:r w:rsidRPr="00FE6C8B">
        <w:rPr>
          <w:rFonts w:ascii="Times New Roman" w:hAnsi="Times New Roman" w:cs="Times New Roman"/>
          <w:i/>
          <w:iCs/>
        </w:rPr>
        <w:t>BMJ Global Health</w:t>
      </w:r>
      <w:r w:rsidRPr="00FE6C8B">
        <w:rPr>
          <w:rFonts w:ascii="Times New Roman" w:hAnsi="Times New Roman" w:cs="Times New Roman"/>
        </w:rPr>
        <w:t>.</w:t>
      </w:r>
    </w:p>
    <w:p w14:paraId="2A823000" w14:textId="77777777" w:rsidR="009C71E2" w:rsidRPr="00FE6C8B" w:rsidRDefault="00000000" w:rsidP="00FE6C8B">
      <w:pPr>
        <w:pStyle w:val="a9"/>
        <w:spacing w:line="360" w:lineRule="auto"/>
        <w:jc w:val="both"/>
        <w:rPr>
          <w:rFonts w:ascii="Times New Roman" w:hAnsi="Times New Roman" w:cs="Times New Roman"/>
        </w:rPr>
      </w:pPr>
      <w:bookmarkStart w:id="42" w:name="ref-james2024"/>
      <w:bookmarkEnd w:id="41"/>
      <w:r w:rsidRPr="00FE6C8B">
        <w:rPr>
          <w:rFonts w:ascii="Times New Roman" w:hAnsi="Times New Roman" w:cs="Times New Roman"/>
        </w:rPr>
        <w:t xml:space="preserve">Kirkbride, J. B., Anglin, D. M., Colman, I., Dykxhoorn, J., Jones, P. B., Patalay, P., Pitman, A., Soneson, E., Steare, T., Wright, T., &amp; Griffiths, S. L. (2024). The social determinants of mental health and disorder: Evidence, prevention and recommendations. </w:t>
      </w:r>
      <w:r w:rsidRPr="00FE6C8B">
        <w:rPr>
          <w:rFonts w:ascii="Times New Roman" w:hAnsi="Times New Roman" w:cs="Times New Roman"/>
          <w:i/>
          <w:iCs/>
        </w:rPr>
        <w:t>Wiley</w:t>
      </w:r>
      <w:r w:rsidRPr="00FE6C8B">
        <w:rPr>
          <w:rFonts w:ascii="Times New Roman" w:hAnsi="Times New Roman" w:cs="Times New Roman"/>
        </w:rPr>
        <w:t>.</w:t>
      </w:r>
    </w:p>
    <w:p w14:paraId="5F783FCC" w14:textId="77777777" w:rsidR="009C71E2" w:rsidRPr="00FE6C8B" w:rsidRDefault="00000000" w:rsidP="00FE6C8B">
      <w:pPr>
        <w:pStyle w:val="a9"/>
        <w:spacing w:line="360" w:lineRule="auto"/>
        <w:jc w:val="both"/>
        <w:rPr>
          <w:rFonts w:ascii="Times New Roman" w:hAnsi="Times New Roman" w:cs="Times New Roman"/>
        </w:rPr>
      </w:pPr>
      <w:bookmarkStart w:id="43" w:name="ref-nancy2024"/>
      <w:bookmarkEnd w:id="42"/>
      <w:r w:rsidRPr="00FE6C8B">
        <w:rPr>
          <w:rFonts w:ascii="Times New Roman" w:hAnsi="Times New Roman" w:cs="Times New Roman"/>
        </w:rPr>
        <w:t xml:space="preserve">Kuture, N., Mataure, P., &amp; Mutanana, N. (2024). Enhancing adolescent sexual health education and condom use in harare: Addressing attitudes and practices amongst adolescents on antiretroviral therapy. </w:t>
      </w:r>
      <w:r w:rsidRPr="00FE6C8B">
        <w:rPr>
          <w:rFonts w:ascii="Times New Roman" w:hAnsi="Times New Roman" w:cs="Times New Roman"/>
          <w:i/>
          <w:iCs/>
        </w:rPr>
        <w:t>International Journal of Research and Scientific Innovation</w:t>
      </w:r>
      <w:r w:rsidRPr="00FE6C8B">
        <w:rPr>
          <w:rFonts w:ascii="Times New Roman" w:hAnsi="Times New Roman" w:cs="Times New Roman"/>
        </w:rPr>
        <w:t>.</w:t>
      </w:r>
    </w:p>
    <w:p w14:paraId="2334601C" w14:textId="77777777" w:rsidR="009C71E2" w:rsidRPr="00FE6C8B" w:rsidRDefault="00000000" w:rsidP="00FE6C8B">
      <w:pPr>
        <w:pStyle w:val="a9"/>
        <w:spacing w:line="360" w:lineRule="auto"/>
        <w:jc w:val="both"/>
        <w:rPr>
          <w:rFonts w:ascii="Times New Roman" w:hAnsi="Times New Roman" w:cs="Times New Roman"/>
        </w:rPr>
      </w:pPr>
      <w:bookmarkStart w:id="44" w:name="ref-gm2003"/>
      <w:bookmarkEnd w:id="43"/>
      <w:r w:rsidRPr="00FE6C8B">
        <w:rPr>
          <w:rFonts w:ascii="Times New Roman" w:hAnsi="Times New Roman" w:cs="Times New Roman"/>
        </w:rPr>
        <w:t xml:space="preserve">Leung, G., Lam, T.-H., Ho, L.-M., Ho, S.-Y., Chan, B. H. Y., Wong, I. O. L., &amp; Hedley, A. J. (2003). The impact of community psychological responses on outbreak control for severe acute respiratory syndrome in hong kong. </w:t>
      </w:r>
      <w:r w:rsidRPr="00FE6C8B">
        <w:rPr>
          <w:rFonts w:ascii="Times New Roman" w:hAnsi="Times New Roman" w:cs="Times New Roman"/>
          <w:i/>
          <w:iCs/>
        </w:rPr>
        <w:t>BMJ</w:t>
      </w:r>
      <w:r w:rsidRPr="00FE6C8B">
        <w:rPr>
          <w:rFonts w:ascii="Times New Roman" w:hAnsi="Times New Roman" w:cs="Times New Roman"/>
        </w:rPr>
        <w:t>.</w:t>
      </w:r>
    </w:p>
    <w:p w14:paraId="2B57D456" w14:textId="77777777" w:rsidR="009C71E2" w:rsidRPr="00FE6C8B" w:rsidRDefault="00000000" w:rsidP="00FE6C8B">
      <w:pPr>
        <w:pStyle w:val="a9"/>
        <w:spacing w:line="360" w:lineRule="auto"/>
        <w:jc w:val="both"/>
        <w:rPr>
          <w:rFonts w:ascii="Times New Roman" w:hAnsi="Times New Roman" w:cs="Times New Roman"/>
        </w:rPr>
      </w:pPr>
      <w:bookmarkStart w:id="45" w:name="ref-hildie2019"/>
      <w:bookmarkEnd w:id="44"/>
      <w:r w:rsidRPr="00FE6C8B">
        <w:rPr>
          <w:rFonts w:ascii="Times New Roman" w:hAnsi="Times New Roman" w:cs="Times New Roman"/>
        </w:rPr>
        <w:t xml:space="preserve">Leung, H., Shek, D. T. L., Leung, E., &amp; Shek, E. Y. W. (2019). Development of </w:t>
      </w:r>
      <w:proofErr w:type="gramStart"/>
      <w:r w:rsidRPr="00FE6C8B">
        <w:rPr>
          <w:rFonts w:ascii="Times New Roman" w:hAnsi="Times New Roman" w:cs="Times New Roman"/>
        </w:rPr>
        <w:t>contextually-relevant</w:t>
      </w:r>
      <w:proofErr w:type="gramEnd"/>
      <w:r w:rsidRPr="00FE6C8B">
        <w:rPr>
          <w:rFonts w:ascii="Times New Roman" w:hAnsi="Times New Roman" w:cs="Times New Roman"/>
        </w:rPr>
        <w:t xml:space="preserve"> sexuality education: Lessons from a comprehensive review of adolescent sexuality education across cultures. </w:t>
      </w:r>
      <w:r w:rsidRPr="00FE6C8B">
        <w:rPr>
          <w:rFonts w:ascii="Times New Roman" w:hAnsi="Times New Roman" w:cs="Times New Roman"/>
          <w:i/>
          <w:iCs/>
        </w:rPr>
        <w:t>Multidisciplinary Digital Publishing Institute</w:t>
      </w:r>
      <w:r w:rsidRPr="00FE6C8B">
        <w:rPr>
          <w:rFonts w:ascii="Times New Roman" w:hAnsi="Times New Roman" w:cs="Times New Roman"/>
        </w:rPr>
        <w:t>.</w:t>
      </w:r>
    </w:p>
    <w:p w14:paraId="6379A9A0" w14:textId="77777777" w:rsidR="009C71E2" w:rsidRPr="00FE6C8B" w:rsidRDefault="00000000" w:rsidP="00FE6C8B">
      <w:pPr>
        <w:pStyle w:val="a9"/>
        <w:spacing w:line="360" w:lineRule="auto"/>
        <w:jc w:val="both"/>
        <w:rPr>
          <w:rFonts w:ascii="Times New Roman" w:hAnsi="Times New Roman" w:cs="Times New Roman"/>
        </w:rPr>
      </w:pPr>
      <w:bookmarkStart w:id="46" w:name="ref-ten2015"/>
      <w:bookmarkEnd w:id="45"/>
      <w:r w:rsidRPr="00FE6C8B">
        <w:rPr>
          <w:rFonts w:ascii="Times New Roman" w:hAnsi="Times New Roman" w:cs="Times New Roman"/>
        </w:rPr>
        <w:t xml:space="preserve">Lewis, T. T., Cogburn, C. D., &amp; Williams, D. R. (2015). Self-reported experiences of discrimination and health: Scientific advances, ongoing controversies, and emerging issues. </w:t>
      </w:r>
      <w:r w:rsidRPr="00FE6C8B">
        <w:rPr>
          <w:rFonts w:ascii="Times New Roman" w:hAnsi="Times New Roman" w:cs="Times New Roman"/>
          <w:i/>
          <w:iCs/>
        </w:rPr>
        <w:t>Annual Reviews</w:t>
      </w:r>
      <w:r w:rsidRPr="00FE6C8B">
        <w:rPr>
          <w:rFonts w:ascii="Times New Roman" w:hAnsi="Times New Roman" w:cs="Times New Roman"/>
        </w:rPr>
        <w:t>.</w:t>
      </w:r>
    </w:p>
    <w:p w14:paraId="4D6D5CC7" w14:textId="77777777" w:rsidR="009C71E2" w:rsidRPr="00FE6C8B" w:rsidRDefault="00000000" w:rsidP="00FE6C8B">
      <w:pPr>
        <w:pStyle w:val="a9"/>
        <w:spacing w:line="360" w:lineRule="auto"/>
        <w:jc w:val="both"/>
        <w:rPr>
          <w:rFonts w:ascii="Times New Roman" w:hAnsi="Times New Roman" w:cs="Times New Roman"/>
        </w:rPr>
      </w:pPr>
      <w:bookmarkStart w:id="47" w:name="ref-andrea2022"/>
      <w:bookmarkEnd w:id="46"/>
      <w:r w:rsidRPr="00FE6C8B">
        <w:rPr>
          <w:rFonts w:ascii="Times New Roman" w:hAnsi="Times New Roman" w:cs="Times New Roman"/>
        </w:rPr>
        <w:t xml:space="preserve">Lpez, A. M., Thomann, M., Dhatt, Z., Ferrera, J., Al-Nassir, M., Ambrose, M., &amp; Sullivan, S. (2022). Understanding racial inequities in the implementation of harm reduction initiatives. </w:t>
      </w:r>
      <w:r w:rsidRPr="00FE6C8B">
        <w:rPr>
          <w:rFonts w:ascii="Times New Roman" w:hAnsi="Times New Roman" w:cs="Times New Roman"/>
          <w:i/>
          <w:iCs/>
        </w:rPr>
        <w:t>American Journal of Public Health</w:t>
      </w:r>
      <w:r w:rsidRPr="00FE6C8B">
        <w:rPr>
          <w:rFonts w:ascii="Times New Roman" w:hAnsi="Times New Roman" w:cs="Times New Roman"/>
        </w:rPr>
        <w:t>.</w:t>
      </w:r>
    </w:p>
    <w:p w14:paraId="778D2F95" w14:textId="77777777" w:rsidR="009C71E2" w:rsidRPr="00FE6C8B" w:rsidRDefault="00000000" w:rsidP="00FE6C8B">
      <w:pPr>
        <w:pStyle w:val="a9"/>
        <w:spacing w:line="360" w:lineRule="auto"/>
        <w:jc w:val="both"/>
        <w:rPr>
          <w:rFonts w:ascii="Times New Roman" w:hAnsi="Times New Roman" w:cs="Times New Roman"/>
        </w:rPr>
      </w:pPr>
      <w:bookmarkStart w:id="48" w:name="ref-v2023"/>
      <w:bookmarkEnd w:id="47"/>
      <w:r w:rsidRPr="00FE6C8B">
        <w:rPr>
          <w:rFonts w:ascii="Times New Roman" w:hAnsi="Times New Roman" w:cs="Times New Roman"/>
        </w:rPr>
        <w:lastRenderedPageBreak/>
        <w:t xml:space="preserve">Mbarushimana, V., Goldstein, S., &amp; Conco, D. (2023). Not just the consequences, but also the pleasurable sex: A review of the content of comprehensive sexuality education for early adolescents in rwanda. </w:t>
      </w:r>
      <w:r w:rsidRPr="00FE6C8B">
        <w:rPr>
          <w:rFonts w:ascii="Times New Roman" w:hAnsi="Times New Roman" w:cs="Times New Roman"/>
          <w:i/>
          <w:iCs/>
        </w:rPr>
        <w:t>BMC Public Health</w:t>
      </w:r>
      <w:r w:rsidRPr="00FE6C8B">
        <w:rPr>
          <w:rFonts w:ascii="Times New Roman" w:hAnsi="Times New Roman" w:cs="Times New Roman"/>
        </w:rPr>
        <w:t>.</w:t>
      </w:r>
    </w:p>
    <w:p w14:paraId="7E67598A" w14:textId="77777777" w:rsidR="009C71E2" w:rsidRPr="00FE6C8B" w:rsidRDefault="00000000" w:rsidP="00FE6C8B">
      <w:pPr>
        <w:pStyle w:val="a9"/>
        <w:spacing w:line="360" w:lineRule="auto"/>
        <w:jc w:val="both"/>
        <w:rPr>
          <w:rFonts w:ascii="Times New Roman" w:hAnsi="Times New Roman" w:cs="Times New Roman"/>
        </w:rPr>
      </w:pPr>
      <w:bookmarkStart w:id="49" w:name="ref-walter2022"/>
      <w:bookmarkEnd w:id="48"/>
      <w:r w:rsidRPr="00FE6C8B">
        <w:rPr>
          <w:rFonts w:ascii="Times New Roman" w:hAnsi="Times New Roman" w:cs="Times New Roman"/>
        </w:rPr>
        <w:t xml:space="preserve">Millanzi, W. C., Osaki, K., &amp; Kibusi, S. (2022). The effect of educational intervention on shaping safe sexual behavior based on problem-based pedagogy in the field of sex education and reproductive health: Clinical trial among adolescents in tanzania. </w:t>
      </w:r>
      <w:r w:rsidRPr="00FE6C8B">
        <w:rPr>
          <w:rFonts w:ascii="Times New Roman" w:hAnsi="Times New Roman" w:cs="Times New Roman"/>
          <w:i/>
          <w:iCs/>
        </w:rPr>
        <w:t>Health Psychology and Behavioral Medicine</w:t>
      </w:r>
      <w:r w:rsidRPr="00FE6C8B">
        <w:rPr>
          <w:rFonts w:ascii="Times New Roman" w:hAnsi="Times New Roman" w:cs="Times New Roman"/>
        </w:rPr>
        <w:t>.</w:t>
      </w:r>
    </w:p>
    <w:p w14:paraId="5DE3116C" w14:textId="77777777" w:rsidR="009C71E2" w:rsidRPr="00FE6C8B" w:rsidRDefault="00000000" w:rsidP="00FE6C8B">
      <w:pPr>
        <w:pStyle w:val="a9"/>
        <w:spacing w:line="360" w:lineRule="auto"/>
        <w:jc w:val="both"/>
        <w:rPr>
          <w:rFonts w:ascii="Times New Roman" w:hAnsi="Times New Roman" w:cs="Times New Roman"/>
        </w:rPr>
      </w:pPr>
      <w:bookmarkStart w:id="50" w:name="ref-lucy2018"/>
      <w:bookmarkEnd w:id="49"/>
      <w:r w:rsidRPr="00FE6C8B">
        <w:rPr>
          <w:rFonts w:ascii="Times New Roman" w:hAnsi="Times New Roman" w:cs="Times New Roman"/>
        </w:rPr>
        <w:t xml:space="preserve">Platt, L., Grenfell, P., Meiksin, R., Elmes, J., Sherman, S. G., Sanders, T., Mwangi, P., &amp; Crago, A.-L. (2018). Associations between sex work laws and sex workers health: A systematic review and meta-analysis of quantitative and qualitative studies. </w:t>
      </w:r>
      <w:r w:rsidRPr="00FE6C8B">
        <w:rPr>
          <w:rFonts w:ascii="Times New Roman" w:hAnsi="Times New Roman" w:cs="Times New Roman"/>
          <w:i/>
          <w:iCs/>
        </w:rPr>
        <w:t>Public Library of Science</w:t>
      </w:r>
      <w:r w:rsidRPr="00FE6C8B">
        <w:rPr>
          <w:rFonts w:ascii="Times New Roman" w:hAnsi="Times New Roman" w:cs="Times New Roman"/>
        </w:rPr>
        <w:t>.</w:t>
      </w:r>
    </w:p>
    <w:p w14:paraId="6B2033AC" w14:textId="77777777" w:rsidR="009C71E2" w:rsidRPr="00FE6C8B" w:rsidRDefault="00000000" w:rsidP="00FE6C8B">
      <w:pPr>
        <w:pStyle w:val="a9"/>
        <w:spacing w:line="360" w:lineRule="auto"/>
        <w:jc w:val="both"/>
        <w:rPr>
          <w:rFonts w:ascii="Times New Roman" w:hAnsi="Times New Roman" w:cs="Times New Roman"/>
        </w:rPr>
      </w:pPr>
      <w:bookmarkStart w:id="51" w:name="ref-carlos2002"/>
      <w:bookmarkEnd w:id="50"/>
      <w:r w:rsidRPr="00FE6C8B">
        <w:rPr>
          <w:rFonts w:ascii="Times New Roman" w:hAnsi="Times New Roman" w:cs="Times New Roman"/>
        </w:rPr>
        <w:t xml:space="preserve">Ro, C. del, &amp; Seplveda, J. (2002). AIDS in mexico: Lessons learned and implications for developing countries. </w:t>
      </w:r>
      <w:r w:rsidRPr="00FE6C8B">
        <w:rPr>
          <w:rFonts w:ascii="Times New Roman" w:hAnsi="Times New Roman" w:cs="Times New Roman"/>
          <w:i/>
          <w:iCs/>
        </w:rPr>
        <w:t>Lippincott Williams &amp; Wilkins</w:t>
      </w:r>
      <w:r w:rsidRPr="00FE6C8B">
        <w:rPr>
          <w:rFonts w:ascii="Times New Roman" w:hAnsi="Times New Roman" w:cs="Times New Roman"/>
        </w:rPr>
        <w:t>.</w:t>
      </w:r>
    </w:p>
    <w:p w14:paraId="4D6B4CB6" w14:textId="77777777" w:rsidR="009C71E2" w:rsidRPr="00FE6C8B" w:rsidRDefault="00000000" w:rsidP="00FE6C8B">
      <w:pPr>
        <w:pStyle w:val="a9"/>
        <w:spacing w:line="360" w:lineRule="auto"/>
        <w:jc w:val="both"/>
        <w:rPr>
          <w:rFonts w:ascii="Times New Roman" w:hAnsi="Times New Roman" w:cs="Times New Roman"/>
        </w:rPr>
      </w:pPr>
      <w:bookmarkStart w:id="52" w:name="ref-rehana2016"/>
      <w:bookmarkEnd w:id="51"/>
      <w:r w:rsidRPr="00FE6C8B">
        <w:rPr>
          <w:rFonts w:ascii="Times New Roman" w:hAnsi="Times New Roman" w:cs="Times New Roman"/>
        </w:rPr>
        <w:t xml:space="preserve">Salam, R. A., Faqqah, A., Sajjad, N., Lassi, Z. S., Das, J. K., Kaufman, M., &amp; Bhutta, Z. A. (2016). Improving adolescent sexual and reproductive health: A systematic review of potential interventions. </w:t>
      </w:r>
      <w:r w:rsidRPr="00FE6C8B">
        <w:rPr>
          <w:rFonts w:ascii="Times New Roman" w:hAnsi="Times New Roman" w:cs="Times New Roman"/>
          <w:i/>
          <w:iCs/>
        </w:rPr>
        <w:t>Elsevier BV</w:t>
      </w:r>
      <w:r w:rsidRPr="00FE6C8B">
        <w:rPr>
          <w:rFonts w:ascii="Times New Roman" w:hAnsi="Times New Roman" w:cs="Times New Roman"/>
        </w:rPr>
        <w:t>.</w:t>
      </w:r>
    </w:p>
    <w:p w14:paraId="286ACC71" w14:textId="77777777" w:rsidR="009C71E2" w:rsidRPr="00FE6C8B" w:rsidRDefault="00000000" w:rsidP="00FE6C8B">
      <w:pPr>
        <w:pStyle w:val="a9"/>
        <w:spacing w:line="360" w:lineRule="auto"/>
        <w:jc w:val="both"/>
        <w:rPr>
          <w:rFonts w:ascii="Times New Roman" w:hAnsi="Times New Roman" w:cs="Times New Roman"/>
        </w:rPr>
      </w:pPr>
      <w:bookmarkStart w:id="53" w:name="ref-ine2017"/>
      <w:bookmarkEnd w:id="52"/>
      <w:r w:rsidRPr="00FE6C8B">
        <w:rPr>
          <w:rFonts w:ascii="Times New Roman" w:hAnsi="Times New Roman" w:cs="Times New Roman"/>
        </w:rPr>
        <w:t xml:space="preserve">Vanwesenbeeck, I. (2017). Sex work criminalization is barking up the wrong tree. </w:t>
      </w:r>
      <w:r w:rsidRPr="00FE6C8B">
        <w:rPr>
          <w:rFonts w:ascii="Times New Roman" w:hAnsi="Times New Roman" w:cs="Times New Roman"/>
          <w:i/>
          <w:iCs/>
        </w:rPr>
        <w:t>Springer Science+Business Media</w:t>
      </w:r>
      <w:r w:rsidRPr="00FE6C8B">
        <w:rPr>
          <w:rFonts w:ascii="Times New Roman" w:hAnsi="Times New Roman" w:cs="Times New Roman"/>
        </w:rPr>
        <w:t>.</w:t>
      </w:r>
    </w:p>
    <w:p w14:paraId="2431DB3A" w14:textId="77777777" w:rsidR="009C71E2" w:rsidRPr="00FE6C8B" w:rsidRDefault="00000000" w:rsidP="00FE6C8B">
      <w:pPr>
        <w:pStyle w:val="a9"/>
        <w:spacing w:line="360" w:lineRule="auto"/>
        <w:jc w:val="both"/>
        <w:rPr>
          <w:rFonts w:ascii="Times New Roman" w:hAnsi="Times New Roman" w:cs="Times New Roman"/>
        </w:rPr>
      </w:pPr>
      <w:bookmarkStart w:id="54" w:name="ref-a2014"/>
      <w:bookmarkEnd w:id="53"/>
      <w:r w:rsidRPr="00FE6C8B">
        <w:rPr>
          <w:rFonts w:ascii="Times New Roman" w:hAnsi="Times New Roman" w:cs="Times New Roman"/>
        </w:rPr>
        <w:t xml:space="preserve">Vassall, A., Chandrashekar, S., Pickles, M., Beattie, T. S., Shetty, G., Bhattacharjee, P., Boily, M., Vickerman, P., Bradley, J., Alary, M., Moses, S., &amp; Watts, C. (2014). Community mobilisation and empowerment interventions as part of HIV prevention for female sex workers in southern india: A cost-effectiveness analysis. </w:t>
      </w:r>
      <w:r w:rsidRPr="00FE6C8B">
        <w:rPr>
          <w:rFonts w:ascii="Times New Roman" w:hAnsi="Times New Roman" w:cs="Times New Roman"/>
          <w:i/>
          <w:iCs/>
        </w:rPr>
        <w:t>PLoS ONE</w:t>
      </w:r>
      <w:r w:rsidRPr="00FE6C8B">
        <w:rPr>
          <w:rFonts w:ascii="Times New Roman" w:hAnsi="Times New Roman" w:cs="Times New Roman"/>
        </w:rPr>
        <w:t>.</w:t>
      </w:r>
    </w:p>
    <w:p w14:paraId="27B4012F" w14:textId="77777777" w:rsidR="009C71E2" w:rsidRDefault="00000000" w:rsidP="00FE6C8B">
      <w:pPr>
        <w:pStyle w:val="a9"/>
        <w:spacing w:line="360" w:lineRule="auto"/>
        <w:jc w:val="both"/>
        <w:rPr>
          <w:rFonts w:ascii="Times New Roman" w:hAnsi="Times New Roman" w:cs="Times New Roman"/>
        </w:rPr>
      </w:pPr>
      <w:bookmarkStart w:id="55" w:name="ref-bruce2021"/>
      <w:bookmarkEnd w:id="54"/>
      <w:r w:rsidRPr="00FE6C8B">
        <w:rPr>
          <w:rFonts w:ascii="Times New Roman" w:hAnsi="Times New Roman" w:cs="Times New Roman"/>
        </w:rPr>
        <w:t xml:space="preserve">Wallace, B., Roode, T. van, Pagan, F., Hore, D. K., &amp; Pauly, B. (2021). The potential impacts of community drug checking within the overdose crisis: Qualitative study exploring the perspective of prospective service users. </w:t>
      </w:r>
      <w:r w:rsidRPr="00FE6C8B">
        <w:rPr>
          <w:rFonts w:ascii="Times New Roman" w:hAnsi="Times New Roman" w:cs="Times New Roman"/>
          <w:i/>
          <w:iCs/>
        </w:rPr>
        <w:t>BioMed Central</w:t>
      </w:r>
      <w:r w:rsidRPr="00FE6C8B">
        <w:rPr>
          <w:rFonts w:ascii="Times New Roman" w:hAnsi="Times New Roman" w:cs="Times New Roman"/>
        </w:rPr>
        <w:t>.</w:t>
      </w:r>
    </w:p>
    <w:p w14:paraId="2E4B487F" w14:textId="77777777" w:rsidR="00FE6C8B" w:rsidRPr="00FE6C8B" w:rsidRDefault="00FE6C8B" w:rsidP="00FE6C8B">
      <w:pPr>
        <w:pStyle w:val="a9"/>
        <w:spacing w:line="360" w:lineRule="auto"/>
        <w:jc w:val="both"/>
        <w:rPr>
          <w:rFonts w:ascii="Times New Roman" w:hAnsi="Times New Roman" w:cs="Times New Roman"/>
        </w:rPr>
      </w:pPr>
    </w:p>
    <w:p w14:paraId="3F9E3BFF" w14:textId="77777777" w:rsidR="009C71E2" w:rsidRPr="00FE6C8B" w:rsidRDefault="00000000" w:rsidP="00FE6C8B">
      <w:pPr>
        <w:pStyle w:val="a9"/>
        <w:spacing w:line="360" w:lineRule="auto"/>
        <w:jc w:val="both"/>
        <w:rPr>
          <w:rFonts w:ascii="Times New Roman" w:hAnsi="Times New Roman" w:cs="Times New Roman"/>
        </w:rPr>
      </w:pPr>
      <w:bookmarkStart w:id="56" w:name="ref-r2017"/>
      <w:bookmarkEnd w:id="55"/>
      <w:r w:rsidRPr="00FE6C8B">
        <w:rPr>
          <w:rFonts w:ascii="Times New Roman" w:hAnsi="Times New Roman" w:cs="Times New Roman"/>
        </w:rPr>
        <w:lastRenderedPageBreak/>
        <w:t xml:space="preserve">Wanyenze, R., Musinguzi, G., Kiguli, J., Nuwaha, F., Mujisha, G., Musinguzi, J., Arinaitwe, J., &amp; Matovu, J. (2017). When they know that you are a sex worker, you will be the last person to be treated: Perceptions and experiences of female sex workers in accessing HIV services in uganda. </w:t>
      </w:r>
      <w:r w:rsidRPr="00FE6C8B">
        <w:rPr>
          <w:rFonts w:ascii="Times New Roman" w:hAnsi="Times New Roman" w:cs="Times New Roman"/>
          <w:i/>
          <w:iCs/>
        </w:rPr>
        <w:t>BMC International Health and Human Rights</w:t>
      </w:r>
      <w:r w:rsidRPr="00FE6C8B">
        <w:rPr>
          <w:rFonts w:ascii="Times New Roman" w:hAnsi="Times New Roman" w:cs="Times New Roman"/>
        </w:rPr>
        <w:t>.</w:t>
      </w:r>
    </w:p>
    <w:p w14:paraId="347069E6" w14:textId="77777777" w:rsidR="009C71E2" w:rsidRPr="00FE6C8B" w:rsidRDefault="00000000" w:rsidP="00FE6C8B">
      <w:pPr>
        <w:pStyle w:val="a9"/>
        <w:spacing w:line="360" w:lineRule="auto"/>
        <w:jc w:val="both"/>
        <w:rPr>
          <w:rFonts w:ascii="Times New Roman" w:hAnsi="Times New Roman" w:cs="Times New Roman"/>
        </w:rPr>
      </w:pPr>
      <w:bookmarkStart w:id="57" w:name="ref-jeny2006"/>
      <w:bookmarkEnd w:id="56"/>
      <w:r w:rsidRPr="00FE6C8B">
        <w:rPr>
          <w:rFonts w:ascii="Times New Roman" w:hAnsi="Times New Roman" w:cs="Times New Roman"/>
        </w:rPr>
        <w:t xml:space="preserve">Wegbreit, J., Bertozzi, S., DeMaria, L., &amp; Padian, N. (2006). Effectiveness of HIV prevention strategies in resource-poor countries: Tailoring the intervention to the context. </w:t>
      </w:r>
      <w:r w:rsidRPr="00FE6C8B">
        <w:rPr>
          <w:rFonts w:ascii="Times New Roman" w:hAnsi="Times New Roman" w:cs="Times New Roman"/>
          <w:i/>
          <w:iCs/>
        </w:rPr>
        <w:t>Lippincott Williams &amp; Wilkins</w:t>
      </w:r>
      <w:r w:rsidRPr="00FE6C8B">
        <w:rPr>
          <w:rFonts w:ascii="Times New Roman" w:hAnsi="Times New Roman" w:cs="Times New Roman"/>
        </w:rPr>
        <w:t>.</w:t>
      </w:r>
    </w:p>
    <w:p w14:paraId="579B623D" w14:textId="77777777" w:rsidR="009C71E2" w:rsidRPr="00FE6C8B" w:rsidRDefault="00000000" w:rsidP="00FE6C8B">
      <w:pPr>
        <w:pStyle w:val="a9"/>
        <w:spacing w:line="360" w:lineRule="auto"/>
        <w:jc w:val="both"/>
        <w:rPr>
          <w:rFonts w:ascii="Times New Roman" w:hAnsi="Times New Roman" w:cs="Times New Roman"/>
        </w:rPr>
      </w:pPr>
      <w:bookmarkStart w:id="58" w:name="ref-wai2013"/>
      <w:bookmarkEnd w:id="57"/>
      <w:r w:rsidRPr="00FE6C8B">
        <w:rPr>
          <w:rFonts w:ascii="Times New Roman" w:hAnsi="Times New Roman" w:cs="Times New Roman"/>
        </w:rPr>
        <w:t xml:space="preserve">Wong, W. C. A. (2013). The politics of sexual morality and evangelical activism in hong kong. </w:t>
      </w:r>
      <w:r w:rsidRPr="00FE6C8B">
        <w:rPr>
          <w:rFonts w:ascii="Times New Roman" w:hAnsi="Times New Roman" w:cs="Times New Roman"/>
          <w:i/>
          <w:iCs/>
        </w:rPr>
        <w:t>Routledge</w:t>
      </w:r>
      <w:r w:rsidRPr="00FE6C8B">
        <w:rPr>
          <w:rFonts w:ascii="Times New Roman" w:hAnsi="Times New Roman" w:cs="Times New Roman"/>
        </w:rPr>
        <w:t>.</w:t>
      </w:r>
      <w:bookmarkEnd w:id="0"/>
      <w:bookmarkEnd w:id="30"/>
      <w:bookmarkEnd w:id="32"/>
      <w:bookmarkEnd w:id="58"/>
    </w:p>
    <w:sectPr w:rsidR="009C71E2" w:rsidRPr="00FE6C8B">
      <w:footnotePr>
        <w:numRestart w:val="eachSec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5F01CF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81842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E2"/>
    <w:rsid w:val="009C71E2"/>
    <w:rsid w:val="00D02860"/>
    <w:rsid w:val="00FE6C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401B"/>
  <w15:docId w15:val="{CADB390C-C82E-4574-A34B-DD98C048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6867</Words>
  <Characters>39143</Characters>
  <Application>Microsoft Office Word</Application>
  <DocSecurity>0</DocSecurity>
  <Lines>326</Lines>
  <Paragraphs>91</Paragraphs>
  <ScaleCrop>false</ScaleCrop>
  <Company/>
  <LinksUpToDate>false</LinksUpToDate>
  <CharactersWithSpaces>45919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2</cp:revision>
  <dcterms:created xsi:type="dcterms:W3CDTF">2026-01-19T13:29:00Z</dcterms:created>
  <dcterms:modified xsi:type="dcterms:W3CDTF">2026-01-19T13:29:00Z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/tmp/document-temp/references_6c2890e8ac58e88c_1768828769.bib</vt:lpwstr>
  </property>
  <property fmtid="{D5CDD505-2E9C-101B-9397-08002B2CF9AE}" pid="3" name="csl">
    <vt:lpwstr>/tmp/document-temp/style_6c2890e8ac58e88c_1768828769.csl</vt:lpwstr>
  </property>
  <property fmtid="{D5CDD505-2E9C-101B-9397-08002B2CF9AE}" pid="4" name="link-citations">
    <vt:lpwstr>True</vt:lpwstr>
  </property>
</Properties>
</file>